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4F7" w:rsidRDefault="001E26CD">
      <w:pPr>
        <w:pStyle w:val="af5"/>
        <w:jc w:val="center"/>
        <w:rPr>
          <w:sz w:val="24"/>
          <w:szCs w:val="24"/>
        </w:rPr>
      </w:pPr>
      <w:r>
        <w:rPr>
          <w:sz w:val="24"/>
          <w:szCs w:val="24"/>
        </w:rPr>
        <w:t>РЕСПУБЛИКА КАРЕЛИЯ</w:t>
      </w:r>
    </w:p>
    <w:p w:rsidR="00E244F7" w:rsidRDefault="001E26CD">
      <w:pPr>
        <w:pStyle w:val="af5"/>
        <w:jc w:val="center"/>
        <w:rPr>
          <w:sz w:val="24"/>
          <w:szCs w:val="24"/>
        </w:rPr>
      </w:pPr>
      <w:r>
        <w:rPr>
          <w:sz w:val="24"/>
          <w:szCs w:val="24"/>
        </w:rPr>
        <w:t>ЛАХДЕНПОХСКИЙ МУНИЦИПАЛЬНЫЙ РАЙОН</w:t>
      </w:r>
    </w:p>
    <w:p w:rsidR="00E244F7" w:rsidRDefault="00E244F7">
      <w:pPr>
        <w:pStyle w:val="af5"/>
        <w:jc w:val="center"/>
        <w:rPr>
          <w:sz w:val="24"/>
          <w:szCs w:val="24"/>
        </w:rPr>
      </w:pPr>
    </w:p>
    <w:p w:rsidR="00E244F7" w:rsidRDefault="001E26CD">
      <w:pPr>
        <w:pStyle w:val="af5"/>
        <w:jc w:val="center"/>
        <w:rPr>
          <w:b/>
          <w:sz w:val="24"/>
          <w:szCs w:val="24"/>
        </w:rPr>
      </w:pPr>
      <w:r>
        <w:rPr>
          <w:sz w:val="24"/>
          <w:szCs w:val="24"/>
        </w:rPr>
        <w:t>АДМИНИСТРАЦИЯ ЭЛИСЕНВААРСКОГО СЕЛЬСКОГО ПОСЕЛЕНИЯ</w:t>
      </w:r>
    </w:p>
    <w:p w:rsidR="00E244F7" w:rsidRDefault="00E244F7">
      <w:pPr>
        <w:pStyle w:val="af5"/>
        <w:jc w:val="center"/>
        <w:rPr>
          <w:sz w:val="24"/>
          <w:szCs w:val="24"/>
        </w:rPr>
      </w:pPr>
    </w:p>
    <w:p w:rsidR="00E244F7" w:rsidRDefault="00E244F7">
      <w:pPr>
        <w:pStyle w:val="af5"/>
        <w:jc w:val="center"/>
        <w:rPr>
          <w:sz w:val="24"/>
          <w:szCs w:val="24"/>
        </w:rPr>
      </w:pPr>
    </w:p>
    <w:p w:rsidR="00E244F7" w:rsidRDefault="001E26CD">
      <w:pPr>
        <w:pStyle w:val="af5"/>
        <w:jc w:val="center"/>
        <w:rPr>
          <w:sz w:val="24"/>
          <w:szCs w:val="24"/>
        </w:rPr>
      </w:pPr>
      <w:r>
        <w:rPr>
          <w:sz w:val="24"/>
          <w:szCs w:val="24"/>
        </w:rPr>
        <w:t>ПОСТАНОВЛЕНИЕ</w:t>
      </w:r>
    </w:p>
    <w:p w:rsidR="00E244F7" w:rsidRDefault="00E244F7">
      <w:pPr>
        <w:rPr>
          <w:rFonts w:ascii="Times New Roman" w:hAnsi="Times New Roman"/>
        </w:rPr>
      </w:pPr>
    </w:p>
    <w:p w:rsidR="00E244F7" w:rsidRDefault="00E244F7">
      <w:pPr>
        <w:pStyle w:val="af5"/>
        <w:rPr>
          <w:sz w:val="24"/>
          <w:szCs w:val="24"/>
        </w:rPr>
      </w:pPr>
    </w:p>
    <w:p w:rsidR="00E244F7" w:rsidRDefault="001E26CD">
      <w:pPr>
        <w:pStyle w:val="af5"/>
        <w:rPr>
          <w:sz w:val="24"/>
          <w:szCs w:val="24"/>
        </w:rPr>
      </w:pPr>
      <w:r>
        <w:rPr>
          <w:sz w:val="24"/>
          <w:szCs w:val="24"/>
        </w:rPr>
        <w:t>от 26 декабря 2022   года                                                                                    № 53</w:t>
      </w:r>
    </w:p>
    <w:p w:rsidR="00E244F7" w:rsidRDefault="001E26CD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      п. Элисенваара </w:t>
      </w:r>
    </w:p>
    <w:p w:rsidR="00E244F7" w:rsidRDefault="00E244F7">
      <w:pPr>
        <w:pStyle w:val="af5"/>
        <w:rPr>
          <w:b/>
          <w:spacing w:val="40"/>
          <w:sz w:val="36"/>
          <w:szCs w:val="36"/>
        </w:rPr>
      </w:pPr>
    </w:p>
    <w:p w:rsidR="00E244F7" w:rsidRDefault="001E26CD">
      <w:pPr>
        <w:pStyle w:val="af5"/>
        <w:jc w:val="both"/>
        <w:rPr>
          <w:sz w:val="24"/>
          <w:szCs w:val="24"/>
        </w:rPr>
      </w:pPr>
      <w:r>
        <w:rPr>
          <w:sz w:val="24"/>
          <w:szCs w:val="24"/>
        </w:rPr>
        <w:t>Об утверждении учетной политики</w:t>
      </w:r>
    </w:p>
    <w:p w:rsidR="00E244F7" w:rsidRDefault="001E26CD">
      <w:pPr>
        <w:pStyle w:val="af5"/>
        <w:jc w:val="both"/>
        <w:rPr>
          <w:sz w:val="24"/>
          <w:szCs w:val="24"/>
        </w:rPr>
      </w:pPr>
      <w:r>
        <w:rPr>
          <w:sz w:val="24"/>
          <w:szCs w:val="24"/>
        </w:rPr>
        <w:t>для целей бухгалтерского учета</w:t>
      </w:r>
    </w:p>
    <w:p w:rsidR="00E244F7" w:rsidRDefault="00E244F7">
      <w:pPr>
        <w:pStyle w:val="af5"/>
        <w:jc w:val="both"/>
        <w:rPr>
          <w:sz w:val="24"/>
          <w:szCs w:val="24"/>
        </w:rPr>
      </w:pPr>
    </w:p>
    <w:p w:rsidR="00E244F7" w:rsidRDefault="001E26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Во исполнение Закона от 06.12.2011 № 402-ФЗ, приказа Минфина от 01.12.2010 № 157н, Федерального стандарта «Учетная политика, оценочные значения и ошибки» (утв. приказом </w:t>
      </w:r>
      <w:r>
        <w:rPr>
          <w:rFonts w:ascii="Times New Roman" w:hAnsi="Times New Roman"/>
        </w:rPr>
        <w:t>Минфина от 30.12.2017 № 274</w:t>
      </w:r>
      <w:r>
        <w:rPr>
          <w:rFonts w:ascii="Times New Roman" w:hAnsi="Times New Roman"/>
          <w:sz w:val="28"/>
          <w:szCs w:val="28"/>
        </w:rPr>
        <w:t>н) </w:t>
      </w:r>
    </w:p>
    <w:p w:rsidR="00E244F7" w:rsidRPr="00A60595" w:rsidRDefault="001E26CD">
      <w:pPr>
        <w:ind w:firstLine="708"/>
        <w:rPr>
          <w:rFonts w:ascii="Times New Roman" w:hAnsi="Times New Roman"/>
        </w:rPr>
      </w:pPr>
      <w:r w:rsidRPr="00A60595">
        <w:rPr>
          <w:rFonts w:ascii="Times New Roman" w:hAnsi="Times New Roman"/>
        </w:rPr>
        <w:t>ПОСТАНОВЛЯЕТ:</w:t>
      </w:r>
    </w:p>
    <w:p w:rsidR="00E244F7" w:rsidRPr="00A60595" w:rsidRDefault="001E26CD">
      <w:pPr>
        <w:pStyle w:val="af3"/>
        <w:numPr>
          <w:ilvl w:val="0"/>
          <w:numId w:val="44"/>
        </w:numPr>
        <w:ind w:left="0" w:firstLine="567"/>
        <w:rPr>
          <w:rFonts w:ascii="Times New Roman" w:hAnsi="Times New Roman"/>
        </w:rPr>
      </w:pPr>
      <w:r w:rsidRPr="00A60595">
        <w:rPr>
          <w:rFonts w:ascii="Times New Roman" w:hAnsi="Times New Roman"/>
        </w:rPr>
        <w:t xml:space="preserve">Утвердить учетную политику для целей бухгалтерского учета согласно приложению и ввести ее в действие с </w:t>
      </w:r>
      <w:r w:rsidRPr="00A60595">
        <w:rPr>
          <w:rStyle w:val="fill"/>
          <w:rFonts w:ascii="Times New Roman" w:hAnsi="Times New Roman"/>
        </w:rPr>
        <w:t>1 января 2023 года</w:t>
      </w:r>
      <w:r w:rsidRPr="00A60595">
        <w:rPr>
          <w:rFonts w:ascii="Times New Roman" w:hAnsi="Times New Roman"/>
        </w:rPr>
        <w:t>.</w:t>
      </w:r>
    </w:p>
    <w:p w:rsidR="00E244F7" w:rsidRPr="00A60595" w:rsidRDefault="001E26CD">
      <w:pPr>
        <w:ind w:firstLine="0"/>
        <w:outlineLvl w:val="0"/>
        <w:rPr>
          <w:rFonts w:ascii="Times New Roman" w:hAnsi="Times New Roman"/>
        </w:rPr>
      </w:pPr>
      <w:r w:rsidRPr="00A60595">
        <w:rPr>
          <w:rFonts w:ascii="Times New Roman" w:hAnsi="Times New Roman"/>
        </w:rPr>
        <w:t xml:space="preserve">          2</w:t>
      </w:r>
      <w:r w:rsidRPr="00A60595">
        <w:rPr>
          <w:rFonts w:ascii="Times New Roman" w:hAnsi="Times New Roman"/>
        </w:rPr>
        <w:t>.   Признать утратившими силу с 1 января 2023 года:</w:t>
      </w:r>
    </w:p>
    <w:p w:rsidR="00E244F7" w:rsidRPr="00A60595" w:rsidRDefault="001E26CD">
      <w:pPr>
        <w:pStyle w:val="af5"/>
        <w:ind w:firstLine="567"/>
        <w:jc w:val="both"/>
        <w:rPr>
          <w:color w:val="000000"/>
          <w:sz w:val="24"/>
          <w:szCs w:val="24"/>
        </w:rPr>
      </w:pPr>
      <w:r w:rsidRPr="00A60595">
        <w:rPr>
          <w:sz w:val="24"/>
          <w:szCs w:val="24"/>
        </w:rPr>
        <w:t>- постановление Администр</w:t>
      </w:r>
      <w:r w:rsidRPr="00A60595">
        <w:rPr>
          <w:sz w:val="24"/>
          <w:szCs w:val="24"/>
        </w:rPr>
        <w:t xml:space="preserve">ации </w:t>
      </w:r>
      <w:r w:rsidRPr="00A60595">
        <w:rPr>
          <w:sz w:val="24"/>
          <w:szCs w:val="24"/>
        </w:rPr>
        <w:t>Элисенваарского сельского поселения</w:t>
      </w:r>
      <w:r w:rsidRPr="00A60595">
        <w:rPr>
          <w:color w:val="000000"/>
          <w:sz w:val="24"/>
          <w:szCs w:val="24"/>
        </w:rPr>
        <w:t xml:space="preserve"> от 21 марта 2019 года № 18 «</w:t>
      </w:r>
      <w:r w:rsidRPr="00A60595">
        <w:rPr>
          <w:sz w:val="24"/>
          <w:szCs w:val="24"/>
        </w:rPr>
        <w:t>Об утверждении учетной политики для целей бухгалтерского учета</w:t>
      </w:r>
      <w:r w:rsidRPr="00A60595">
        <w:rPr>
          <w:color w:val="000000"/>
          <w:sz w:val="24"/>
          <w:szCs w:val="24"/>
        </w:rPr>
        <w:t>»;</w:t>
      </w:r>
    </w:p>
    <w:p w:rsidR="00E244F7" w:rsidRPr="00A60595" w:rsidRDefault="001E26CD">
      <w:pPr>
        <w:pStyle w:val="af5"/>
        <w:jc w:val="both"/>
        <w:rPr>
          <w:color w:val="000000"/>
          <w:sz w:val="24"/>
          <w:szCs w:val="24"/>
        </w:rPr>
      </w:pPr>
      <w:r w:rsidRPr="00A60595">
        <w:rPr>
          <w:sz w:val="24"/>
          <w:szCs w:val="24"/>
        </w:rPr>
        <w:t xml:space="preserve">-  постановление Администрации </w:t>
      </w:r>
      <w:r w:rsidRPr="00A60595">
        <w:rPr>
          <w:sz w:val="24"/>
          <w:szCs w:val="24"/>
        </w:rPr>
        <w:t>Элисенваарского сельского поселения</w:t>
      </w:r>
      <w:r w:rsidRPr="00A60595">
        <w:rPr>
          <w:color w:val="000000"/>
          <w:sz w:val="24"/>
          <w:szCs w:val="24"/>
        </w:rPr>
        <w:t xml:space="preserve"> от 05 ноября 2019 года № 42 «</w:t>
      </w:r>
      <w:r w:rsidRPr="00A60595">
        <w:rPr>
          <w:sz w:val="24"/>
          <w:szCs w:val="24"/>
        </w:rPr>
        <w:t>О внесении изменений в Постановление Администрации Элисенваарского сельского поселения от 21 марта 2019 года № 18 «</w:t>
      </w:r>
      <w:r w:rsidRPr="00A60595">
        <w:rPr>
          <w:sz w:val="24"/>
          <w:szCs w:val="24"/>
        </w:rPr>
        <w:t>О внесении изменений в учетную политику для целей бухгалтерского учета</w:t>
      </w:r>
      <w:r w:rsidRPr="00A60595">
        <w:rPr>
          <w:color w:val="000000"/>
          <w:sz w:val="24"/>
          <w:szCs w:val="24"/>
        </w:rPr>
        <w:t>»;</w:t>
      </w:r>
    </w:p>
    <w:p w:rsidR="00E244F7" w:rsidRPr="00A60595" w:rsidRDefault="001E26CD">
      <w:pPr>
        <w:pStyle w:val="af5"/>
        <w:jc w:val="both"/>
        <w:rPr>
          <w:color w:val="000000"/>
          <w:sz w:val="24"/>
          <w:szCs w:val="24"/>
        </w:rPr>
      </w:pPr>
      <w:r w:rsidRPr="00A60595">
        <w:rPr>
          <w:sz w:val="24"/>
          <w:szCs w:val="24"/>
        </w:rPr>
        <w:t xml:space="preserve">-  постановление Администрации </w:t>
      </w:r>
      <w:r w:rsidRPr="00A60595">
        <w:rPr>
          <w:sz w:val="24"/>
          <w:szCs w:val="24"/>
        </w:rPr>
        <w:t>Элисенваарского сельского поселения</w:t>
      </w:r>
      <w:r w:rsidRPr="00A60595">
        <w:rPr>
          <w:color w:val="000000"/>
          <w:sz w:val="24"/>
          <w:szCs w:val="24"/>
        </w:rPr>
        <w:t xml:space="preserve"> о</w:t>
      </w:r>
      <w:r w:rsidRPr="00A60595">
        <w:rPr>
          <w:color w:val="000000"/>
          <w:sz w:val="24"/>
          <w:szCs w:val="24"/>
        </w:rPr>
        <w:t>т 23 июня 2021 года № 17 «</w:t>
      </w:r>
      <w:r w:rsidRPr="00A60595">
        <w:rPr>
          <w:sz w:val="24"/>
          <w:szCs w:val="24"/>
        </w:rPr>
        <w:t>О внесении изменений в Постановление Администрации Элисенваарского сельского поселения от 21 марта 2019 года № 18 «</w:t>
      </w:r>
      <w:r w:rsidRPr="00A60595">
        <w:rPr>
          <w:sz w:val="24"/>
          <w:szCs w:val="24"/>
        </w:rPr>
        <w:t>О внесении изменений в учетную политику для целей бухгалтерского учета</w:t>
      </w:r>
      <w:r w:rsidRPr="00A60595">
        <w:rPr>
          <w:color w:val="000000"/>
          <w:sz w:val="24"/>
          <w:szCs w:val="24"/>
        </w:rPr>
        <w:t>»;</w:t>
      </w:r>
    </w:p>
    <w:p w:rsidR="00E244F7" w:rsidRPr="00A60595" w:rsidRDefault="001E26CD">
      <w:pPr>
        <w:ind w:firstLine="567"/>
        <w:rPr>
          <w:rFonts w:ascii="Times New Roman" w:hAnsi="Times New Roman"/>
        </w:rPr>
      </w:pPr>
      <w:r w:rsidRPr="00A60595">
        <w:rPr>
          <w:rFonts w:ascii="Times New Roman" w:hAnsi="Times New Roman"/>
        </w:rPr>
        <w:t>3. Контроль за исполнением приказа возложи</w:t>
      </w:r>
      <w:r w:rsidRPr="00A60595">
        <w:rPr>
          <w:rFonts w:ascii="Times New Roman" w:hAnsi="Times New Roman"/>
        </w:rPr>
        <w:t>ть на главного бухгалтера В.О. Овчарову.</w:t>
      </w:r>
    </w:p>
    <w:p w:rsidR="00E244F7" w:rsidRPr="00A60595" w:rsidRDefault="00E244F7">
      <w:pPr>
        <w:ind w:left="710"/>
        <w:rPr>
          <w:rFonts w:ascii="Times New Roman" w:hAnsi="Times New Roman"/>
        </w:rPr>
      </w:pPr>
    </w:p>
    <w:p w:rsidR="00E244F7" w:rsidRPr="00A60595" w:rsidRDefault="00E244F7">
      <w:pPr>
        <w:pStyle w:val="af3"/>
        <w:ind w:left="1068"/>
        <w:rPr>
          <w:rFonts w:ascii="Times New Roman" w:hAnsi="Times New Roman"/>
        </w:rPr>
      </w:pPr>
    </w:p>
    <w:p w:rsidR="00E244F7" w:rsidRDefault="00E244F7">
      <w:pPr>
        <w:rPr>
          <w:rFonts w:ascii="Times New Roman" w:hAnsi="Times New Roman"/>
          <w:szCs w:val="28"/>
        </w:rPr>
      </w:pPr>
    </w:p>
    <w:p w:rsidR="00E244F7" w:rsidRDefault="001E26CD">
      <w:pPr>
        <w:ind w:left="360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Глава </w:t>
      </w:r>
    </w:p>
    <w:p w:rsidR="00E244F7" w:rsidRDefault="001E26CD">
      <w:pPr>
        <w:ind w:left="360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Элисенваарского сельского поселения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С.А. Орлов                                                       </w:t>
      </w:r>
    </w:p>
    <w:p w:rsidR="00E244F7" w:rsidRDefault="00E244F7">
      <w:pPr>
        <w:rPr>
          <w:rFonts w:ascii="Times New Roman" w:hAnsi="Times New Roman"/>
          <w:szCs w:val="28"/>
        </w:rPr>
      </w:pPr>
    </w:p>
    <w:p w:rsidR="00E244F7" w:rsidRDefault="001E26CD">
      <w:pPr>
        <w:ind w:left="5812" w:firstLine="709"/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               </w:t>
      </w:r>
    </w:p>
    <w:p w:rsidR="00E244F7" w:rsidRDefault="00E244F7">
      <w:pPr>
        <w:ind w:left="5812" w:firstLine="709"/>
        <w:contextualSpacing/>
        <w:rPr>
          <w:rFonts w:ascii="Times New Roman" w:hAnsi="Times New Roman"/>
          <w:lang w:eastAsia="en-US"/>
        </w:rPr>
      </w:pPr>
    </w:p>
    <w:p w:rsidR="00E244F7" w:rsidRDefault="00E244F7">
      <w:pPr>
        <w:ind w:left="5812" w:firstLine="709"/>
        <w:contextualSpacing/>
        <w:rPr>
          <w:rFonts w:ascii="Times New Roman" w:hAnsi="Times New Roman"/>
          <w:lang w:eastAsia="en-US"/>
        </w:rPr>
      </w:pPr>
    </w:p>
    <w:p w:rsidR="00A60595" w:rsidRDefault="00A60595">
      <w:pPr>
        <w:ind w:left="5812" w:firstLine="709"/>
        <w:contextualSpacing/>
        <w:rPr>
          <w:rFonts w:ascii="Times New Roman" w:hAnsi="Times New Roman"/>
          <w:lang w:eastAsia="en-US"/>
        </w:rPr>
      </w:pPr>
    </w:p>
    <w:p w:rsidR="00A60595" w:rsidRDefault="00A60595">
      <w:pPr>
        <w:ind w:left="5812" w:firstLine="709"/>
        <w:contextualSpacing/>
        <w:rPr>
          <w:rFonts w:ascii="Times New Roman" w:hAnsi="Times New Roman"/>
          <w:lang w:eastAsia="en-US"/>
        </w:rPr>
      </w:pPr>
    </w:p>
    <w:p w:rsidR="00A60595" w:rsidRDefault="00A60595">
      <w:pPr>
        <w:ind w:left="5812" w:firstLine="709"/>
        <w:contextualSpacing/>
        <w:rPr>
          <w:rFonts w:ascii="Times New Roman" w:hAnsi="Times New Roman"/>
          <w:lang w:eastAsia="en-US"/>
        </w:rPr>
      </w:pPr>
    </w:p>
    <w:p w:rsidR="00A60595" w:rsidRDefault="00A60595">
      <w:pPr>
        <w:ind w:left="5812" w:firstLine="709"/>
        <w:contextualSpacing/>
        <w:rPr>
          <w:rFonts w:ascii="Times New Roman" w:hAnsi="Times New Roman"/>
          <w:lang w:eastAsia="en-US"/>
        </w:rPr>
      </w:pPr>
    </w:p>
    <w:p w:rsidR="00A60595" w:rsidRDefault="00A60595">
      <w:pPr>
        <w:ind w:left="5812" w:firstLine="709"/>
        <w:contextualSpacing/>
        <w:rPr>
          <w:rFonts w:ascii="Times New Roman" w:hAnsi="Times New Roman"/>
          <w:lang w:eastAsia="en-US"/>
        </w:rPr>
      </w:pPr>
    </w:p>
    <w:p w:rsidR="00A60595" w:rsidRDefault="00A60595">
      <w:pPr>
        <w:ind w:left="5812" w:firstLine="709"/>
        <w:contextualSpacing/>
        <w:rPr>
          <w:rFonts w:ascii="Times New Roman" w:hAnsi="Times New Roman"/>
          <w:lang w:eastAsia="en-US"/>
        </w:rPr>
      </w:pPr>
    </w:p>
    <w:p w:rsidR="006053DA" w:rsidRDefault="006053DA">
      <w:pPr>
        <w:ind w:left="5812" w:firstLine="709"/>
        <w:contextualSpacing/>
        <w:rPr>
          <w:rFonts w:ascii="Times New Roman" w:hAnsi="Times New Roman"/>
          <w:lang w:eastAsia="en-US"/>
        </w:rPr>
      </w:pPr>
      <w:bookmarkStart w:id="0" w:name="_GoBack"/>
      <w:bookmarkEnd w:id="0"/>
    </w:p>
    <w:p w:rsidR="00E244F7" w:rsidRDefault="00E244F7">
      <w:pPr>
        <w:ind w:left="5812" w:firstLine="709"/>
        <w:contextualSpacing/>
        <w:rPr>
          <w:rFonts w:ascii="Times New Roman" w:hAnsi="Times New Roman"/>
          <w:lang w:eastAsia="en-US"/>
        </w:rPr>
      </w:pPr>
    </w:p>
    <w:p w:rsidR="00E244F7" w:rsidRDefault="00E244F7">
      <w:pPr>
        <w:ind w:left="5812" w:firstLine="709"/>
        <w:contextualSpacing/>
        <w:rPr>
          <w:rFonts w:ascii="Times New Roman" w:hAnsi="Times New Roman"/>
          <w:lang w:eastAsia="en-US"/>
        </w:rPr>
      </w:pPr>
    </w:p>
    <w:p w:rsidR="00E244F7" w:rsidRDefault="00E244F7">
      <w:pPr>
        <w:ind w:left="5812" w:firstLine="709"/>
        <w:contextualSpacing/>
        <w:rPr>
          <w:rFonts w:ascii="Times New Roman" w:hAnsi="Times New Roman"/>
          <w:lang w:eastAsia="en-US"/>
        </w:rPr>
      </w:pPr>
    </w:p>
    <w:p w:rsidR="00E244F7" w:rsidRDefault="001E26CD">
      <w:pPr>
        <w:ind w:left="5812" w:firstLine="709"/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lastRenderedPageBreak/>
        <w:t xml:space="preserve">  </w:t>
      </w:r>
      <w:r w:rsidR="00A60595">
        <w:rPr>
          <w:rFonts w:ascii="Times New Roman" w:hAnsi="Times New Roman"/>
          <w:sz w:val="28"/>
          <w:lang w:eastAsia="en-US"/>
        </w:rPr>
        <w:t>Утверджено</w:t>
      </w:r>
    </w:p>
    <w:p w:rsidR="00A60595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                                              </w:t>
      </w:r>
      <w:r>
        <w:rPr>
          <w:rFonts w:ascii="Times New Roman" w:hAnsi="Times New Roman"/>
          <w:lang w:eastAsia="en-US"/>
        </w:rPr>
        <w:t xml:space="preserve">                              </w:t>
      </w:r>
      <w:r w:rsidR="00A60595">
        <w:rPr>
          <w:rFonts w:ascii="Times New Roman" w:hAnsi="Times New Roman"/>
          <w:lang w:eastAsia="en-US"/>
        </w:rPr>
        <w:t xml:space="preserve">                   постановлением</w:t>
      </w:r>
      <w:r>
        <w:rPr>
          <w:rFonts w:ascii="Times New Roman" w:hAnsi="Times New Roman"/>
          <w:lang w:eastAsia="en-US"/>
        </w:rPr>
        <w:t xml:space="preserve"> от </w:t>
      </w:r>
      <w:r w:rsidR="00A60595">
        <w:rPr>
          <w:rFonts w:ascii="Times New Roman" w:hAnsi="Times New Roman"/>
          <w:lang w:eastAsia="en-US"/>
        </w:rPr>
        <w:t xml:space="preserve"> </w:t>
      </w:r>
    </w:p>
    <w:p w:rsidR="00E244F7" w:rsidRDefault="00A60595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                                                                                               </w:t>
      </w:r>
      <w:r w:rsidR="001E26CD">
        <w:rPr>
          <w:rFonts w:ascii="Times New Roman" w:hAnsi="Times New Roman"/>
          <w:lang w:eastAsia="en-US"/>
        </w:rPr>
        <w:t xml:space="preserve">26.12.2022 № 53 </w:t>
      </w:r>
    </w:p>
    <w:p w:rsidR="00E244F7" w:rsidRDefault="00E244F7">
      <w:pPr>
        <w:ind w:left="5812" w:firstLine="284"/>
        <w:contextualSpacing/>
        <w:rPr>
          <w:rFonts w:ascii="Times New Roman" w:hAnsi="Times New Roman"/>
          <w:lang w:eastAsia="en-US"/>
        </w:rPr>
      </w:pPr>
    </w:p>
    <w:p w:rsidR="00E244F7" w:rsidRDefault="001E26CD">
      <w:pPr>
        <w:contextualSpacing/>
        <w:jc w:val="center"/>
        <w:rPr>
          <w:rFonts w:ascii="Times New Roman" w:hAnsi="Times New Roman"/>
          <w:b/>
          <w:lang w:eastAsia="en-US"/>
        </w:rPr>
      </w:pPr>
      <w:r>
        <w:rPr>
          <w:rFonts w:ascii="Times New Roman" w:hAnsi="Times New Roman"/>
          <w:b/>
          <w:lang w:eastAsia="en-US"/>
        </w:rPr>
        <w:t>Учетная политика для целей бюджетного  учета Администрации Элисенваарского сельского поселения</w:t>
      </w:r>
    </w:p>
    <w:p w:rsidR="00E244F7" w:rsidRDefault="00E244F7">
      <w:pPr>
        <w:contextualSpacing/>
        <w:jc w:val="center"/>
        <w:rPr>
          <w:rFonts w:ascii="Times New Roman" w:hAnsi="Times New Roman"/>
          <w:b/>
          <w:lang w:eastAsia="en-US"/>
        </w:rPr>
      </w:pPr>
    </w:p>
    <w:p w:rsidR="00E244F7" w:rsidRDefault="001E26CD">
      <w:pPr>
        <w:ind w:firstLine="567"/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Учетная политика Администрации Элисенваарского сельского поселения (далее – </w:t>
      </w:r>
      <w:r>
        <w:rPr>
          <w:rFonts w:ascii="Times New Roman" w:hAnsi="Times New Roman"/>
          <w:lang w:eastAsia="en-US"/>
        </w:rPr>
        <w:t>Учреждение) разработана в соответствии:</w:t>
      </w:r>
    </w:p>
    <w:p w:rsidR="00E244F7" w:rsidRDefault="00E244F7">
      <w:pPr>
        <w:ind w:firstLine="567"/>
        <w:contextualSpacing/>
        <w:rPr>
          <w:rFonts w:ascii="Times New Roman" w:hAnsi="Times New Roman"/>
          <w:lang w:eastAsia="en-US"/>
        </w:rPr>
      </w:pPr>
    </w:p>
    <w:p w:rsidR="00E244F7" w:rsidRDefault="001E26CD">
      <w:pPr>
        <w:ind w:firstLine="0"/>
        <w:contextualSpacing/>
        <w:rPr>
          <w:rFonts w:ascii="Times New Roman" w:hAnsi="Times New Roman"/>
        </w:rPr>
      </w:pPr>
      <w:r>
        <w:rPr>
          <w:rFonts w:ascii="Times New Roman" w:hAnsi="Times New Roman"/>
          <w:lang w:eastAsia="en-US"/>
        </w:rPr>
        <w:t xml:space="preserve">• </w:t>
      </w:r>
      <w:r>
        <w:rPr>
          <w:rStyle w:val="afd"/>
          <w:rFonts w:ascii="Times New Roman" w:hAnsi="Times New Roman"/>
          <w:color w:val="000000"/>
        </w:rPr>
        <w:t>Бюджетным кодексом</w:t>
      </w:r>
      <w:r>
        <w:rPr>
          <w:rFonts w:ascii="Times New Roman" w:hAnsi="Times New Roman"/>
        </w:rPr>
        <w:t xml:space="preserve"> Российской Федерации;</w:t>
      </w:r>
    </w:p>
    <w:p w:rsidR="00E244F7" w:rsidRDefault="001E26CD">
      <w:pPr>
        <w:ind w:firstLine="0"/>
        <w:contextualSpacing/>
        <w:rPr>
          <w:rFonts w:ascii="Times New Roman" w:hAnsi="Times New Roman"/>
        </w:rPr>
      </w:pPr>
      <w:r>
        <w:rPr>
          <w:rFonts w:ascii="Times New Roman" w:hAnsi="Times New Roman"/>
          <w:lang w:eastAsia="en-US"/>
        </w:rPr>
        <w:t>•</w:t>
      </w:r>
      <w:r>
        <w:rPr>
          <w:rFonts w:ascii="Times New Roman" w:hAnsi="Times New Roman"/>
          <w:lang w:eastAsia="en-US"/>
        </w:rPr>
        <w:t xml:space="preserve"> </w:t>
      </w:r>
      <w:r>
        <w:rPr>
          <w:rStyle w:val="afd"/>
          <w:rFonts w:ascii="Times New Roman" w:hAnsi="Times New Roman"/>
          <w:color w:val="000000"/>
        </w:rPr>
        <w:t>Федеральным законом</w:t>
      </w:r>
      <w:r>
        <w:rPr>
          <w:rFonts w:ascii="Times New Roman" w:hAnsi="Times New Roman"/>
        </w:rPr>
        <w:t xml:space="preserve"> от 06.12.2011 N 402-ФЗ "О бухгалтерском учете" (далее - Закон N 402-ФЗ);</w:t>
      </w:r>
    </w:p>
    <w:p w:rsidR="00E244F7" w:rsidRDefault="001E26CD">
      <w:pPr>
        <w:ind w:firstLine="0"/>
        <w:contextualSpacing/>
        <w:rPr>
          <w:rFonts w:ascii="Times New Roman" w:hAnsi="Times New Roman"/>
        </w:rPr>
      </w:pPr>
      <w:r>
        <w:rPr>
          <w:rFonts w:ascii="Times New Roman" w:hAnsi="Times New Roman"/>
          <w:lang w:eastAsia="en-US"/>
        </w:rPr>
        <w:t xml:space="preserve">• </w:t>
      </w:r>
      <w:r>
        <w:rPr>
          <w:rFonts w:ascii="Times New Roman" w:hAnsi="Times New Roman"/>
        </w:rPr>
        <w:t>федеральными стандартами бухгалтерского учета государст</w:t>
      </w:r>
      <w:r>
        <w:rPr>
          <w:rFonts w:ascii="Times New Roman" w:hAnsi="Times New Roman"/>
        </w:rPr>
        <w:t>венных финансов и Методическими рекомендациями по применению этих федеральных стандартов, доведенными письмами Минфина России;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• с приказом Минфина от 01.12.2010 № 157н «Об утверждении Единого плана счетов бухгалтерского учета для органов государственной в</w:t>
      </w:r>
      <w:r>
        <w:rPr>
          <w:rFonts w:ascii="Times New Roman" w:hAnsi="Times New Roman"/>
          <w:lang w:eastAsia="en-US"/>
        </w:rPr>
        <w:t>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 (далее – Инструкции к Еди</w:t>
      </w:r>
      <w:r>
        <w:rPr>
          <w:rFonts w:ascii="Times New Roman" w:hAnsi="Times New Roman"/>
          <w:lang w:eastAsia="en-US"/>
        </w:rPr>
        <w:t>ному плану счетов № 157н);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•</w:t>
      </w:r>
      <w:r>
        <w:t> </w:t>
      </w:r>
      <w:r>
        <w:rPr>
          <w:rStyle w:val="afd"/>
          <w:rFonts w:ascii="Times New Roman" w:hAnsi="Times New Roman"/>
          <w:color w:val="000000"/>
        </w:rPr>
        <w:t>приказом</w:t>
      </w:r>
      <w:r>
        <w:rPr>
          <w:rStyle w:val="afe"/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</w:rPr>
        <w:t>Минфина России от 06.12.2010 N 162н "Об утверждении Плана счетов бюджетного учета и Инструкции по его применению" (далее - Инструкция N 162н)</w:t>
      </w:r>
      <w:r>
        <w:rPr>
          <w:rStyle w:val="afe"/>
          <w:rFonts w:ascii="Times New Roman" w:hAnsi="Times New Roman"/>
          <w:color w:val="000000"/>
        </w:rPr>
        <w:t>;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• </w:t>
      </w:r>
      <w:r>
        <w:rPr>
          <w:rFonts w:ascii="Times New Roman" w:hAnsi="Times New Roman"/>
          <w:shd w:val="clear" w:color="auto" w:fill="FFFFFF"/>
        </w:rPr>
        <w:t>приказ Минфина России от 15 апреля 2021 г. N 61н "Об утверждении унифицир</w:t>
      </w:r>
      <w:r>
        <w:rPr>
          <w:rFonts w:ascii="Times New Roman" w:hAnsi="Times New Roman"/>
          <w:shd w:val="clear" w:color="auto" w:fill="FFFFFF"/>
        </w:rPr>
        <w:t xml:space="preserve">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по их формированию и применению" (далее – Приказ </w:t>
      </w:r>
      <w:r>
        <w:rPr>
          <w:rFonts w:ascii="Times New Roman" w:hAnsi="Times New Roman"/>
          <w:shd w:val="clear" w:color="auto" w:fill="FFFFFF"/>
          <w:lang w:val="en-US"/>
        </w:rPr>
        <w:t>N</w:t>
      </w:r>
      <w:r>
        <w:rPr>
          <w:rFonts w:ascii="Times New Roman" w:hAnsi="Times New Roman"/>
          <w:shd w:val="clear" w:color="auto" w:fill="FFFFFF"/>
        </w:rPr>
        <w:t xml:space="preserve"> 61н);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• </w:t>
      </w:r>
      <w:r>
        <w:rPr>
          <w:rStyle w:val="afd"/>
          <w:rFonts w:ascii="Times New Roman" w:hAnsi="Times New Roman"/>
          <w:color w:val="000000"/>
        </w:rPr>
        <w:t>приказом</w:t>
      </w:r>
      <w:r>
        <w:rPr>
          <w:rStyle w:val="afe"/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</w:rPr>
        <w:t>Минфина России от 28.12.2010 N 191н "Об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Федерации";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• приказом Минфина от 29.11.2017 № 209н «Об утв</w:t>
      </w:r>
      <w:r>
        <w:rPr>
          <w:rFonts w:ascii="Times New Roman" w:hAnsi="Times New Roman"/>
          <w:lang w:eastAsia="en-US"/>
        </w:rPr>
        <w:t>ерждении Порядка применения классификации операций сектора государственного управления» (далее – приказ № 209н);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• приказом Минфина от 30.03.2015 № 52н «Об утверждении форм первичных учетных документов и регистров бухгалтерского учета, применяемых органами</w:t>
      </w:r>
      <w:r>
        <w:rPr>
          <w:rFonts w:ascii="Times New Roman" w:hAnsi="Times New Roman"/>
          <w:lang w:eastAsia="en-US"/>
        </w:rPr>
        <w:t xml:space="preserve">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 (далее – приказ № 5</w:t>
      </w:r>
      <w:r>
        <w:rPr>
          <w:rFonts w:ascii="Times New Roman" w:hAnsi="Times New Roman"/>
          <w:lang w:eastAsia="en-US"/>
        </w:rPr>
        <w:t>2н);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•  </w:t>
      </w:r>
      <w:r>
        <w:rPr>
          <w:rFonts w:ascii="Times New Roman" w:hAnsi="Times New Roman"/>
        </w:rPr>
        <w:t>иными нормативными правовыми актами, регулирующими вопросы организации и ведения бюджетного (бухгалтерского)учета</w:t>
      </w:r>
      <w:r>
        <w:rPr>
          <w:rFonts w:ascii="Times New Roman" w:hAnsi="Times New Roman"/>
          <w:lang w:eastAsia="en-US"/>
        </w:rPr>
        <w:t>.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В части исполнения полномочий получателя бюджетных средств Учреждение ведет учет в соответствии с приказом Минфина от 06.12.2010 №162</w:t>
      </w:r>
      <w:r>
        <w:rPr>
          <w:rFonts w:ascii="Times New Roman" w:hAnsi="Times New Roman"/>
          <w:lang w:eastAsia="en-US"/>
        </w:rPr>
        <w:t>н «Об утверждении плана счетов бюджетного учета и Инструкции по его применению» (далее – Инструкция № 162н).</w:t>
      </w:r>
    </w:p>
    <w:p w:rsidR="00E244F7" w:rsidRDefault="00E244F7">
      <w:pPr>
        <w:contextualSpacing/>
        <w:rPr>
          <w:rFonts w:ascii="Times New Roman" w:hAnsi="Times New Roman"/>
          <w:lang w:eastAsia="en-US"/>
        </w:rPr>
      </w:pPr>
    </w:p>
    <w:p w:rsidR="00E244F7" w:rsidRDefault="001E26CD">
      <w:pPr>
        <w:contextualSpacing/>
        <w:jc w:val="center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Используемые термины и сокращения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 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244F7">
        <w:tc>
          <w:tcPr>
            <w:tcW w:w="4785" w:type="dxa"/>
          </w:tcPr>
          <w:p w:rsidR="00E244F7" w:rsidRDefault="001E26CD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Наименование</w:t>
            </w:r>
          </w:p>
        </w:tc>
        <w:tc>
          <w:tcPr>
            <w:tcW w:w="4786" w:type="dxa"/>
          </w:tcPr>
          <w:p w:rsidR="00E244F7" w:rsidRDefault="001E26CD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Расшифровка</w:t>
            </w:r>
          </w:p>
        </w:tc>
      </w:tr>
      <w:tr w:rsidR="00E244F7">
        <w:tc>
          <w:tcPr>
            <w:tcW w:w="4785" w:type="dxa"/>
          </w:tcPr>
          <w:p w:rsidR="00E244F7" w:rsidRDefault="001E26C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Учреждение</w:t>
            </w:r>
          </w:p>
        </w:tc>
        <w:tc>
          <w:tcPr>
            <w:tcW w:w="4786" w:type="dxa"/>
          </w:tcPr>
          <w:p w:rsidR="00E244F7" w:rsidRDefault="001E26C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Элисенваарского сельского поселения</w:t>
            </w:r>
          </w:p>
        </w:tc>
      </w:tr>
      <w:tr w:rsidR="00E244F7">
        <w:tc>
          <w:tcPr>
            <w:tcW w:w="4785" w:type="dxa"/>
          </w:tcPr>
          <w:p w:rsidR="00E244F7" w:rsidRDefault="001E26C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КБК</w:t>
            </w:r>
          </w:p>
        </w:tc>
        <w:tc>
          <w:tcPr>
            <w:tcW w:w="4786" w:type="dxa"/>
          </w:tcPr>
          <w:p w:rsidR="00E244F7" w:rsidRDefault="001E26C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1–17 разряды номера счета в соответствии с Рабочим планом счетов</w:t>
            </w:r>
          </w:p>
        </w:tc>
      </w:tr>
      <w:tr w:rsidR="00E244F7">
        <w:tc>
          <w:tcPr>
            <w:tcW w:w="4785" w:type="dxa"/>
          </w:tcPr>
          <w:p w:rsidR="00E244F7" w:rsidRDefault="001E26C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Х</w:t>
            </w:r>
          </w:p>
        </w:tc>
        <w:tc>
          <w:tcPr>
            <w:tcW w:w="4786" w:type="dxa"/>
          </w:tcPr>
          <w:p w:rsidR="00E244F7" w:rsidRDefault="001E26C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 разряд номера счета бухучета – код вида финансового обеспечения (деятельности)</w:t>
            </w:r>
          </w:p>
        </w:tc>
      </w:tr>
    </w:tbl>
    <w:p w:rsidR="00E244F7" w:rsidRDefault="00E244F7">
      <w:pPr>
        <w:contextualSpacing/>
        <w:rPr>
          <w:rFonts w:ascii="Times New Roman" w:hAnsi="Times New Roman"/>
          <w:lang w:eastAsia="en-US"/>
        </w:rPr>
      </w:pPr>
    </w:p>
    <w:p w:rsidR="00E244F7" w:rsidRDefault="001E26CD">
      <w:pPr>
        <w:contextualSpacing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>I. Общие положения</w:t>
      </w:r>
    </w:p>
    <w:p w:rsidR="00E244F7" w:rsidRDefault="001E26CD">
      <w:pPr>
        <w:contextualSpacing/>
        <w:rPr>
          <w:rFonts w:ascii="Times New Roman" w:hAnsi="Times New Roman"/>
          <w:b/>
          <w:lang w:eastAsia="en-US"/>
        </w:rPr>
      </w:pPr>
      <w:r>
        <w:rPr>
          <w:rFonts w:ascii="Times New Roman" w:hAnsi="Times New Roman"/>
          <w:b/>
          <w:lang w:eastAsia="en-US"/>
        </w:rPr>
        <w:t xml:space="preserve"> 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1. Бухгалтерский учет ведет структурное подразделение – бухгалтерия, возглавляемая </w:t>
      </w:r>
      <w:r>
        <w:rPr>
          <w:rFonts w:ascii="Times New Roman" w:hAnsi="Times New Roman"/>
          <w:lang w:eastAsia="en-US"/>
        </w:rPr>
        <w:t>главным бухгалтером. Сотрудники бухгалтерии руководствуются в работе Положением о бухгалтерии, должностными инструкциями.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Ответственным за ведение бухгалтерского учета в учреждении является главный специалист. </w:t>
      </w:r>
      <w:r>
        <w:rPr>
          <w:rFonts w:ascii="Times New Roman" w:hAnsi="Times New Roman"/>
        </w:rPr>
        <w:t>Все денежные и расчетные документы, финансовые</w:t>
      </w:r>
      <w:r>
        <w:rPr>
          <w:rFonts w:ascii="Times New Roman" w:hAnsi="Times New Roman"/>
        </w:rPr>
        <w:t xml:space="preserve"> и кредитные обязательства без подписи </w:t>
      </w:r>
      <w:r>
        <w:rPr>
          <w:rStyle w:val="afe"/>
          <w:rFonts w:ascii="Times New Roman" w:hAnsi="Times New Roman"/>
          <w:b w:val="0"/>
          <w:color w:val="000000" w:themeColor="text1"/>
        </w:rPr>
        <w:t>Главы поселения</w:t>
      </w:r>
      <w:r>
        <w:rPr>
          <w:rFonts w:ascii="Times New Roman" w:hAnsi="Times New Roman"/>
        </w:rPr>
        <w:t xml:space="preserve"> недействительны и к исполнению не принимаются.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(Основание: часть 3 статьи 7 Закона от 06.12.2011 № 402-ФЗ, пункт</w:t>
      </w:r>
      <w:r>
        <w:rPr>
          <w:rStyle w:val="afd"/>
          <w:color w:val="000000"/>
        </w:rPr>
        <w:t xml:space="preserve"> </w:t>
      </w:r>
      <w:r>
        <w:rPr>
          <w:rStyle w:val="afd"/>
          <w:rFonts w:ascii="Times New Roman" w:hAnsi="Times New Roman"/>
          <w:color w:val="000000"/>
        </w:rPr>
        <w:t>4</w:t>
      </w:r>
      <w:r>
        <w:t xml:space="preserve">, </w:t>
      </w:r>
      <w:r>
        <w:rPr>
          <w:rStyle w:val="afd"/>
          <w:rFonts w:ascii="Times New Roman" w:hAnsi="Times New Roman"/>
          <w:color w:val="000000"/>
        </w:rPr>
        <w:t>подпункта 5</w:t>
      </w:r>
      <w:r>
        <w:rPr>
          <w:rFonts w:ascii="Times New Roman" w:hAnsi="Times New Roman"/>
          <w:lang w:eastAsia="en-US"/>
        </w:rPr>
        <w:t xml:space="preserve"> Инструкции к Единому плану счетов № 157н.</w:t>
      </w:r>
      <w:r>
        <w:rPr>
          <w:rStyle w:val="afd"/>
          <w:rFonts w:ascii="Times New Roman" w:hAnsi="Times New Roman"/>
          <w:color w:val="000000"/>
        </w:rPr>
        <w:t>26</w:t>
      </w:r>
      <w:r>
        <w:rPr>
          <w:rFonts w:ascii="Times New Roman" w:hAnsi="Times New Roman"/>
        </w:rPr>
        <w:t xml:space="preserve"> СГС "Концептуальные основы")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 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2. Бухгалтерский учет в обособленных подразделениях учреждения, имеющих лицевые счета в территориальных органах Федерального казначейства, ведут бухгалтерии этих подразделений.</w:t>
      </w:r>
    </w:p>
    <w:p w:rsidR="00E244F7" w:rsidRDefault="001E26CD">
      <w:pPr>
        <w:contextualSpacing/>
        <w:rPr>
          <w:rFonts w:ascii="Times New Roman" w:hAnsi="Times New Roman"/>
          <w:b/>
          <w:lang w:eastAsia="en-US"/>
        </w:rPr>
      </w:pPr>
      <w:r>
        <w:rPr>
          <w:rFonts w:ascii="Times New Roman" w:hAnsi="Times New Roman"/>
          <w:b/>
          <w:lang w:eastAsia="en-US"/>
        </w:rPr>
        <w:t xml:space="preserve">  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3. В учреждении действуют постоянные комиссии: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– комиссия по поступлению и выбытию активов (приложение № 1); 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– инвентаризационная комиссия (приложение № 10).</w:t>
      </w:r>
    </w:p>
    <w:p w:rsidR="00E244F7" w:rsidRDefault="001E26CD">
      <w:pPr>
        <w:ind w:firstLine="0"/>
      </w:pPr>
      <w:r>
        <w:t>Персональный состав комиссий, ответственные должностные лица определяются отдельными приказами.</w:t>
      </w:r>
    </w:p>
    <w:p w:rsidR="00E244F7" w:rsidRDefault="001E26CD">
      <w:pPr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Устанавливается следующий норматив (кворум), при</w:t>
      </w:r>
      <w:r>
        <w:rPr>
          <w:rFonts w:ascii="Times New Roman" w:hAnsi="Times New Roman"/>
        </w:rPr>
        <w:t xml:space="preserve"> котором решение комиссии по поступлению и выбытию активов признается правомочным</w:t>
      </w:r>
      <w:r>
        <w:rPr>
          <w:rFonts w:ascii="Times New Roman" w:hAnsi="Times New Roman"/>
          <w:lang w:eastAsia="en-US"/>
        </w:rPr>
        <w:t xml:space="preserve"> </w:t>
      </w:r>
      <w:r>
        <w:rPr>
          <w:rFonts w:ascii="Times New Roman" w:hAnsi="Times New Roman"/>
        </w:rPr>
        <w:t>75% от общего числа членов комиссии.</w:t>
      </w:r>
    </w:p>
    <w:p w:rsidR="00E244F7" w:rsidRDefault="001E26CD">
      <w:pPr>
        <w:contextualSpacing/>
      </w:pPr>
      <w:r>
        <w:rPr>
          <w:rFonts w:ascii="Times New Roman" w:hAnsi="Times New Roman"/>
        </w:rPr>
        <w:t xml:space="preserve">(Основание: </w:t>
      </w:r>
      <w:r>
        <w:rPr>
          <w:rStyle w:val="afd"/>
          <w:rFonts w:ascii="Times New Roman" w:hAnsi="Times New Roman"/>
          <w:color w:val="000000"/>
        </w:rPr>
        <w:t>п.п. 16</w:t>
      </w:r>
      <w:r>
        <w:rPr>
          <w:rFonts w:ascii="Times New Roman" w:hAnsi="Times New Roman"/>
        </w:rPr>
        <w:t xml:space="preserve">, </w:t>
      </w:r>
      <w:r>
        <w:rPr>
          <w:rStyle w:val="afd"/>
          <w:rFonts w:ascii="Times New Roman" w:hAnsi="Times New Roman"/>
          <w:color w:val="000000"/>
        </w:rPr>
        <w:t>25</w:t>
      </w:r>
      <w:r>
        <w:rPr>
          <w:rFonts w:ascii="Times New Roman" w:hAnsi="Times New Roman"/>
        </w:rPr>
        <w:t xml:space="preserve">, </w:t>
      </w:r>
      <w:r>
        <w:rPr>
          <w:rStyle w:val="afd"/>
          <w:rFonts w:ascii="Times New Roman" w:hAnsi="Times New Roman"/>
          <w:color w:val="000000"/>
        </w:rPr>
        <w:t>34</w:t>
      </w:r>
      <w:r>
        <w:rPr>
          <w:rFonts w:ascii="Times New Roman" w:hAnsi="Times New Roman"/>
        </w:rPr>
        <w:t xml:space="preserve">, </w:t>
      </w:r>
      <w:r>
        <w:rPr>
          <w:rStyle w:val="afd"/>
          <w:rFonts w:ascii="Times New Roman" w:hAnsi="Times New Roman"/>
          <w:color w:val="000000"/>
        </w:rPr>
        <w:t>46</w:t>
      </w:r>
      <w:r>
        <w:rPr>
          <w:rFonts w:ascii="Times New Roman" w:hAnsi="Times New Roman"/>
        </w:rPr>
        <w:t xml:space="preserve">, </w:t>
      </w:r>
      <w:r>
        <w:rPr>
          <w:rStyle w:val="afd"/>
          <w:rFonts w:ascii="Times New Roman" w:hAnsi="Times New Roman"/>
          <w:color w:val="000000"/>
        </w:rPr>
        <w:t>51</w:t>
      </w:r>
      <w:r>
        <w:rPr>
          <w:rFonts w:ascii="Times New Roman" w:hAnsi="Times New Roman"/>
        </w:rPr>
        <w:t xml:space="preserve">, </w:t>
      </w:r>
      <w:r>
        <w:rPr>
          <w:rStyle w:val="afd"/>
          <w:rFonts w:ascii="Times New Roman" w:hAnsi="Times New Roman"/>
          <w:color w:val="000000"/>
        </w:rPr>
        <w:t>60</w:t>
      </w:r>
      <w:r>
        <w:rPr>
          <w:rFonts w:ascii="Times New Roman" w:hAnsi="Times New Roman"/>
        </w:rPr>
        <w:t xml:space="preserve">, </w:t>
      </w:r>
      <w:r>
        <w:rPr>
          <w:rStyle w:val="afd"/>
          <w:rFonts w:ascii="Times New Roman" w:hAnsi="Times New Roman"/>
          <w:color w:val="000000"/>
        </w:rPr>
        <w:t>61</w:t>
      </w:r>
      <w:r>
        <w:rPr>
          <w:rFonts w:ascii="Times New Roman" w:hAnsi="Times New Roman"/>
        </w:rPr>
        <w:t xml:space="preserve">, </w:t>
      </w:r>
      <w:r>
        <w:rPr>
          <w:rStyle w:val="afd"/>
          <w:rFonts w:ascii="Times New Roman" w:hAnsi="Times New Roman"/>
          <w:color w:val="000000"/>
        </w:rPr>
        <w:t>63</w:t>
      </w:r>
      <w:r>
        <w:rPr>
          <w:rFonts w:ascii="Times New Roman" w:hAnsi="Times New Roman"/>
        </w:rPr>
        <w:t xml:space="preserve">, </w:t>
      </w:r>
      <w:r>
        <w:rPr>
          <w:rStyle w:val="afd"/>
          <w:rFonts w:ascii="Times New Roman" w:hAnsi="Times New Roman"/>
          <w:color w:val="000000"/>
        </w:rPr>
        <w:t>339</w:t>
      </w:r>
      <w:r>
        <w:rPr>
          <w:rFonts w:ascii="Times New Roman" w:hAnsi="Times New Roman"/>
        </w:rPr>
        <w:t xml:space="preserve">, </w:t>
      </w:r>
      <w:r>
        <w:rPr>
          <w:rStyle w:val="afd"/>
          <w:rFonts w:ascii="Times New Roman" w:hAnsi="Times New Roman"/>
          <w:color w:val="000000"/>
        </w:rPr>
        <w:t>371</w:t>
      </w:r>
      <w:r>
        <w:rPr>
          <w:rFonts w:ascii="Times New Roman" w:hAnsi="Times New Roman"/>
        </w:rPr>
        <w:t xml:space="preserve">, </w:t>
      </w:r>
      <w:r>
        <w:rPr>
          <w:rStyle w:val="afd"/>
          <w:rFonts w:ascii="Times New Roman" w:hAnsi="Times New Roman"/>
          <w:color w:val="000000"/>
        </w:rPr>
        <w:t>377</w:t>
      </w:r>
      <w:r>
        <w:rPr>
          <w:rFonts w:ascii="Times New Roman" w:hAnsi="Times New Roman"/>
        </w:rPr>
        <w:t xml:space="preserve"> Инструкции N 157н)</w:t>
      </w:r>
    </w:p>
    <w:p w:rsidR="00E244F7" w:rsidRDefault="00E244F7">
      <w:pPr>
        <w:contextualSpacing/>
        <w:rPr>
          <w:rFonts w:ascii="Times New Roman" w:hAnsi="Times New Roman"/>
          <w:lang w:eastAsia="en-US"/>
        </w:rPr>
      </w:pP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4. Учреждение публикует основные положения учетной политики на своем официальном сайте путем размещения копий документов учетной политики.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(Основание: пункт 9 СГС «Учетная политика, оценочные значения и ошибки».)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 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5. При внесении изменений в учетную полит</w:t>
      </w:r>
      <w:r>
        <w:rPr>
          <w:rFonts w:ascii="Times New Roman" w:hAnsi="Times New Roman"/>
          <w:lang w:eastAsia="en-US"/>
        </w:rPr>
        <w:t>ику главный бухгалтер оценивает в целях сопоставления отчетности существенность изменения показателей, отражающих финансовое положение, финансовые результаты деятельности учреждения и движение его денежных средств на основе своего профессионального суждени</w:t>
      </w:r>
      <w:r>
        <w:rPr>
          <w:rFonts w:ascii="Times New Roman" w:hAnsi="Times New Roman"/>
          <w:lang w:eastAsia="en-US"/>
        </w:rPr>
        <w:t>я. Также на основе профессионального суждения оценивается существенность ошибок отчетного периода, выявленных после утверждения отчетности, в целях принятия решения о раскрытии в Пояснениях к отчетности информации о существенных ошибках.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(Основание: пункты</w:t>
      </w:r>
      <w:r>
        <w:rPr>
          <w:rFonts w:ascii="Times New Roman" w:hAnsi="Times New Roman"/>
          <w:lang w:eastAsia="en-US"/>
        </w:rPr>
        <w:t xml:space="preserve"> 17, 20, 32 СГС «Учетная политика, оценочные значения и ошибки».)</w:t>
      </w:r>
    </w:p>
    <w:p w:rsidR="00E244F7" w:rsidRDefault="001E26CD">
      <w:pPr>
        <w:contextualSpacing/>
        <w:rPr>
          <w:rFonts w:ascii="Times New Roman" w:hAnsi="Times New Roman"/>
          <w:b/>
          <w:lang w:eastAsia="en-US"/>
        </w:rPr>
      </w:pPr>
      <w:r>
        <w:rPr>
          <w:rFonts w:ascii="Times New Roman" w:hAnsi="Times New Roman"/>
          <w:b/>
          <w:lang w:eastAsia="en-US"/>
        </w:rPr>
        <w:t xml:space="preserve"> </w:t>
      </w:r>
    </w:p>
    <w:p w:rsidR="00E244F7" w:rsidRDefault="001E26CD">
      <w:pPr>
        <w:contextualSpacing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>II. Технология обработки учетной информации</w:t>
      </w:r>
    </w:p>
    <w:p w:rsidR="00E244F7" w:rsidRDefault="001E26CD">
      <w:pPr>
        <w:contextualSpacing/>
        <w:rPr>
          <w:rFonts w:ascii="Times New Roman" w:hAnsi="Times New Roman"/>
          <w:b/>
          <w:lang w:eastAsia="en-US"/>
        </w:rPr>
      </w:pPr>
      <w:r>
        <w:rPr>
          <w:rFonts w:ascii="Times New Roman" w:hAnsi="Times New Roman"/>
          <w:b/>
          <w:lang w:eastAsia="en-US"/>
        </w:rPr>
        <w:t xml:space="preserve"> 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1. Бухгалтерский учет ведется в электронном виде с применением программных продуктов «Бухгалтерия», «Зарплата».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(Основание: пункт 19 Инструкции к Единому плану счетов № 157н.)</w:t>
      </w:r>
    </w:p>
    <w:p w:rsidR="00E244F7" w:rsidRDefault="00E244F7">
      <w:pPr>
        <w:contextualSpacing/>
        <w:rPr>
          <w:rFonts w:ascii="Times New Roman" w:hAnsi="Times New Roman"/>
          <w:lang w:eastAsia="en-US"/>
        </w:rPr>
      </w:pP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2. С использованием телекоммуникационных каналов связи и электронной подписи бухгалтерия учреждения осуществляет электронный документооборот по следующим направлениям: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lastRenderedPageBreak/>
        <w:t xml:space="preserve">• система электронного </w:t>
      </w:r>
      <w:r>
        <w:rPr>
          <w:rFonts w:ascii="Times New Roman" w:hAnsi="Times New Roman"/>
          <w:lang w:eastAsia="en-US"/>
        </w:rPr>
        <w:t>документооборота с территориальным органом Федерального казначейства;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• передача бухгалтерской отчетности финансовым органам;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• передача отчетности по налогам, сборам и иным обязательным платежам в инспекцию Федеральной налоговой службы;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• передача отчетно</w:t>
      </w:r>
      <w:r>
        <w:rPr>
          <w:rFonts w:ascii="Times New Roman" w:hAnsi="Times New Roman"/>
          <w:lang w:eastAsia="en-US"/>
        </w:rPr>
        <w:t>сти в отделение Пенсионного фонда;</w:t>
      </w:r>
    </w:p>
    <w:p w:rsidR="00E244F7" w:rsidRDefault="001E26CD">
      <w:pPr>
        <w:contextualSpacing/>
        <w:rPr>
          <w:rFonts w:ascii="Times New Roman" w:hAnsi="Times New Roman"/>
          <w:color w:val="333333"/>
          <w:highlight w:val="white"/>
        </w:rPr>
      </w:pPr>
      <w:r>
        <w:rPr>
          <w:rFonts w:ascii="Times New Roman" w:hAnsi="Times New Roman"/>
          <w:lang w:eastAsia="en-US"/>
        </w:rPr>
        <w:t>• передача отчетности в отделение</w:t>
      </w:r>
      <w:r>
        <w:rPr>
          <w:rFonts w:ascii="Times New Roman" w:hAnsi="Times New Roman"/>
          <w:color w:val="333333"/>
        </w:rPr>
        <w:t xml:space="preserve"> </w:t>
      </w:r>
      <w:r>
        <w:rPr>
          <w:rFonts w:ascii="Times New Roman" w:hAnsi="Times New Roman"/>
          <w:color w:val="333333"/>
          <w:highlight w:val="white"/>
        </w:rPr>
        <w:t>Фонда социального страхования</w:t>
      </w:r>
      <w:r>
        <w:rPr>
          <w:rFonts w:ascii="Times New Roman" w:hAnsi="Times New Roman"/>
          <w:color w:val="333333"/>
        </w:rPr>
        <w:t>;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• передача отчетности в отделение Статистики;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• размещение информации о деятельности учреждения на официальном сайте bus.gov.ru.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</w:rPr>
        <w:t>Электронные документы, пред</w:t>
      </w:r>
      <w:r>
        <w:rPr>
          <w:rFonts w:ascii="Times New Roman" w:hAnsi="Times New Roman"/>
        </w:rPr>
        <w:t>оставляемые (получаемые) в рамках указанного обмена информацией, подписываются усиленной квалифицированной подписью. Хранение этих документов осуществляется</w:t>
      </w:r>
      <w:r>
        <w:rPr>
          <w:rFonts w:ascii="Times New Roman" w:hAnsi="Times New Roman"/>
          <w:lang w:eastAsia="en-US"/>
        </w:rPr>
        <w:t xml:space="preserve"> </w:t>
      </w:r>
      <w:r>
        <w:rPr>
          <w:rStyle w:val="afe"/>
          <w:rFonts w:ascii="Times New Roman" w:hAnsi="Times New Roman"/>
          <w:b w:val="0"/>
          <w:bCs w:val="0"/>
          <w:color w:val="000000"/>
        </w:rPr>
        <w:t>в информационных системах, через которые осуществляется электронный документооборот.</w:t>
      </w:r>
    </w:p>
    <w:p w:rsidR="00E244F7" w:rsidRDefault="001E26CD">
      <w:pPr>
        <w:contextualSpacing/>
        <w:rPr>
          <w:rFonts w:ascii="Times New Roman" w:hAnsi="Times New Roman"/>
          <w:b/>
          <w:lang w:eastAsia="en-US"/>
        </w:rPr>
      </w:pPr>
      <w:r>
        <w:rPr>
          <w:rFonts w:ascii="Times New Roman" w:hAnsi="Times New Roman"/>
          <w:b/>
          <w:lang w:eastAsia="en-US"/>
        </w:rPr>
        <w:t xml:space="preserve"> 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3. В целях о</w:t>
      </w:r>
      <w:r>
        <w:rPr>
          <w:rFonts w:ascii="Times New Roman" w:hAnsi="Times New Roman"/>
          <w:lang w:eastAsia="en-US"/>
        </w:rPr>
        <w:t>беспечения сохранности электронных данных бухгалтерского учета и отчетности: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• на сервере ежедневно производится сохранение резервных копий базы «Бухгалтерия», ежедневно – «Зарплата»;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• по итогам каждого календарного месяца бухгалтерские регистры, сформиро</w:t>
      </w:r>
      <w:r>
        <w:rPr>
          <w:rFonts w:ascii="Times New Roman" w:hAnsi="Times New Roman"/>
          <w:lang w:eastAsia="en-US"/>
        </w:rPr>
        <w:t>ванные в электронном виде, распечатываются на бумажный носитель и подшиваются в отдельные папки в хронологическом порядке.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(Основание: пункт 19 Инструкции к Единому плану счетов № 157н, пункт 33 СГС «Концептуальные основы бухучета и отчетности»).</w:t>
      </w:r>
    </w:p>
    <w:p w:rsidR="00E244F7" w:rsidRDefault="00E244F7">
      <w:pPr>
        <w:contextualSpacing/>
        <w:rPr>
          <w:rFonts w:ascii="Times New Roman" w:hAnsi="Times New Roman"/>
          <w:lang w:eastAsia="en-US"/>
        </w:rPr>
      </w:pPr>
    </w:p>
    <w:p w:rsidR="00E244F7" w:rsidRDefault="001E26CD">
      <w:pPr>
        <w:contextualSpacing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>III. Правила документооборота</w:t>
      </w:r>
    </w:p>
    <w:p w:rsidR="00E244F7" w:rsidRDefault="00E244F7">
      <w:pPr>
        <w:ind w:firstLine="0"/>
      </w:pP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1. Порядок и сроки передачи первичных учетных документов для отражения в бухгалтерском учете устанавливаются в соответствии с</w:t>
      </w:r>
      <w:r>
        <w:t xml:space="preserve"> </w:t>
      </w:r>
      <w:r>
        <w:rPr>
          <w:rFonts w:ascii="Times New Roman" w:hAnsi="Times New Roman"/>
        </w:rPr>
        <w:t>Графиком документооборота (</w:t>
      </w:r>
      <w:r>
        <w:rPr>
          <w:rStyle w:val="afd"/>
          <w:rFonts w:ascii="Times New Roman" w:hAnsi="Times New Roman"/>
          <w:color w:val="000000"/>
        </w:rPr>
        <w:t>Приложение</w:t>
      </w:r>
      <w:r>
        <w:rPr>
          <w:rFonts w:ascii="Times New Roman" w:hAnsi="Times New Roman"/>
        </w:rPr>
        <w:t xml:space="preserve"> №</w:t>
      </w:r>
      <w:r>
        <w:rPr>
          <w:rStyle w:val="afe"/>
          <w:rFonts w:ascii="Times New Roman" w:hAnsi="Times New Roman"/>
          <w:color w:val="000000"/>
        </w:rPr>
        <w:t> </w:t>
      </w:r>
      <w:r>
        <w:rPr>
          <w:rFonts w:ascii="Times New Roman" w:hAnsi="Times New Roman"/>
        </w:rPr>
        <w:t>2)</w:t>
      </w:r>
      <w:r>
        <w:rPr>
          <w:rFonts w:ascii="Times New Roman" w:hAnsi="Times New Roman"/>
          <w:lang w:eastAsia="en-US"/>
        </w:rPr>
        <w:t>.</w:t>
      </w:r>
    </w:p>
    <w:p w:rsidR="00E244F7" w:rsidRDefault="00E244F7">
      <w:pPr>
        <w:contextualSpacing/>
        <w:rPr>
          <w:rFonts w:ascii="Times New Roman" w:hAnsi="Times New Roman"/>
          <w:lang w:eastAsia="en-US"/>
        </w:rPr>
      </w:pP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2</w:t>
      </w:r>
      <w:r>
        <w:rPr>
          <w:rFonts w:ascii="Times New Roman" w:hAnsi="Times New Roman"/>
          <w:lang w:eastAsia="en-US"/>
        </w:rPr>
        <w:t>. Право подписи учетных документов предоставлено должностным лицам, перечисленным в (Приложении № 3).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</w:rPr>
        <w:t xml:space="preserve">(Основание: </w:t>
      </w:r>
      <w:r>
        <w:rPr>
          <w:rStyle w:val="afd"/>
          <w:rFonts w:ascii="Times New Roman" w:hAnsi="Times New Roman"/>
          <w:color w:val="000000"/>
        </w:rPr>
        <w:t>п. п. 6</w:t>
      </w:r>
      <w:r>
        <w:rPr>
          <w:rFonts w:ascii="Times New Roman" w:hAnsi="Times New Roman"/>
        </w:rPr>
        <w:t xml:space="preserve">, </w:t>
      </w:r>
      <w:r>
        <w:rPr>
          <w:rStyle w:val="afd"/>
          <w:rFonts w:ascii="Times New Roman" w:hAnsi="Times New Roman"/>
          <w:color w:val="000000"/>
        </w:rPr>
        <w:t>7 ч. 2 ст. 9</w:t>
      </w:r>
      <w:r>
        <w:rPr>
          <w:rFonts w:ascii="Times New Roman" w:hAnsi="Times New Roman"/>
        </w:rPr>
        <w:t xml:space="preserve"> Закона N 402-ФЗ, </w:t>
      </w:r>
      <w:r>
        <w:rPr>
          <w:rStyle w:val="afd"/>
          <w:rFonts w:ascii="Times New Roman" w:hAnsi="Times New Roman"/>
          <w:color w:val="000000"/>
        </w:rPr>
        <w:t>п. 26</w:t>
      </w:r>
      <w:r>
        <w:rPr>
          <w:rFonts w:ascii="Times New Roman" w:hAnsi="Times New Roman"/>
        </w:rPr>
        <w:t xml:space="preserve"> СГС "Концептуальные основы")</w:t>
      </w:r>
      <w:r>
        <w:rPr>
          <w:rFonts w:ascii="Times New Roman" w:hAnsi="Times New Roman"/>
          <w:lang w:eastAsia="en-US"/>
        </w:rPr>
        <w:t>.</w:t>
      </w:r>
      <w:r>
        <w:rPr>
          <w:rFonts w:ascii="Times New Roman" w:hAnsi="Times New Roman"/>
          <w:lang w:eastAsia="en-US"/>
        </w:rPr>
        <w:t xml:space="preserve"> </w:t>
      </w:r>
    </w:p>
    <w:p w:rsidR="00E244F7" w:rsidRDefault="00E244F7">
      <w:pPr>
        <w:contextualSpacing/>
        <w:rPr>
          <w:rFonts w:ascii="Times New Roman" w:hAnsi="Times New Roman"/>
          <w:lang w:eastAsia="en-US"/>
        </w:rPr>
      </w:pP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3. Учреждение использует унифицированные формы регистров бухучета</w:t>
      </w:r>
      <w:r>
        <w:rPr>
          <w:rFonts w:ascii="Times New Roman" w:hAnsi="Times New Roman"/>
          <w:lang w:eastAsia="en-US"/>
        </w:rPr>
        <w:t>, перечисленные в (Приложении № 3) к приказу № 52н.</w:t>
      </w:r>
      <w:r>
        <w:t xml:space="preserve"> </w:t>
      </w:r>
      <w:r>
        <w:rPr>
          <w:rFonts w:ascii="Times New Roman" w:hAnsi="Times New Roman"/>
        </w:rPr>
        <w:t>А при отсутствии унифицированных форм следует использовать</w:t>
      </w:r>
      <w:r>
        <w:rPr>
          <w:rFonts w:ascii="Times New Roman" w:hAnsi="Times New Roman"/>
          <w:lang w:eastAsia="en-US"/>
        </w:rPr>
        <w:t xml:space="preserve"> </w:t>
      </w:r>
      <w:r>
        <w:rPr>
          <w:rStyle w:val="afe"/>
          <w:rFonts w:ascii="Times New Roman" w:hAnsi="Times New Roman"/>
          <w:b w:val="0"/>
          <w:color w:val="000000"/>
        </w:rPr>
        <w:t>формы, предусмотренные приказом</w:t>
      </w:r>
      <w:r>
        <w:rPr>
          <w:rFonts w:ascii="Times New Roman" w:hAnsi="Times New Roman"/>
          <w:lang w:eastAsia="en-US"/>
        </w:rPr>
        <w:t xml:space="preserve"> </w:t>
      </w:r>
      <w:r>
        <w:rPr>
          <w:rFonts w:ascii="Times New Roman" w:hAnsi="Times New Roman"/>
        </w:rPr>
        <w:t>№ 61н</w:t>
      </w:r>
      <w:r>
        <w:rPr>
          <w:rFonts w:ascii="Times New Roman" w:hAnsi="Times New Roman"/>
          <w:lang w:eastAsia="en-US"/>
        </w:rPr>
        <w:t xml:space="preserve">. При необходимости формы регистров, которые не унифицированы, разрабатываются самостоятельно. 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</w:rPr>
        <w:t xml:space="preserve">(Основание: </w:t>
      </w:r>
      <w:r>
        <w:rPr>
          <w:rStyle w:val="afd"/>
          <w:rFonts w:ascii="Times New Roman" w:hAnsi="Times New Roman"/>
          <w:color w:val="000000"/>
        </w:rPr>
        <w:t>ч. 5 ст. 10</w:t>
      </w:r>
      <w:r>
        <w:rPr>
          <w:rFonts w:ascii="Times New Roman" w:hAnsi="Times New Roman"/>
        </w:rPr>
        <w:t xml:space="preserve"> Закона N 402-ФЗ, </w:t>
      </w:r>
      <w:r>
        <w:rPr>
          <w:rStyle w:val="afd"/>
          <w:rFonts w:ascii="Times New Roman" w:hAnsi="Times New Roman"/>
          <w:color w:val="000000"/>
        </w:rPr>
        <w:t>п. 28</w:t>
      </w:r>
      <w:r>
        <w:rPr>
          <w:rFonts w:ascii="Times New Roman" w:hAnsi="Times New Roman"/>
        </w:rPr>
        <w:t xml:space="preserve"> СГС "Концептуальные основы", </w:t>
      </w:r>
      <w:r>
        <w:rPr>
          <w:rStyle w:val="afd"/>
          <w:rFonts w:ascii="Times New Roman" w:hAnsi="Times New Roman"/>
          <w:color w:val="000000"/>
        </w:rPr>
        <w:t>п. 11</w:t>
      </w:r>
      <w:r>
        <w:rPr>
          <w:rFonts w:ascii="Times New Roman" w:hAnsi="Times New Roman"/>
        </w:rPr>
        <w:t xml:space="preserve"> Инструкции N 157н)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 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4. При поступлении документов на иностранном языке построчный перевод таких документов на русский язык осуществляется сотрудником учреждения. Переводы составляются н</w:t>
      </w:r>
      <w:r>
        <w:rPr>
          <w:rFonts w:ascii="Times New Roman" w:hAnsi="Times New Roman"/>
          <w:lang w:eastAsia="en-US"/>
        </w:rPr>
        <w:t>а отдельном документе, заверяются подписью сотрудника, составившего перевод, и прикладываются к первичным документам.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В случае невозможности перевода документа привлекается профессиональный переводчик. Перевод денежных (финансовых) документов заверяется но</w:t>
      </w:r>
      <w:r>
        <w:rPr>
          <w:rFonts w:ascii="Times New Roman" w:hAnsi="Times New Roman"/>
          <w:lang w:eastAsia="en-US"/>
        </w:rPr>
        <w:t>тариусом.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Если документы на иностранном языке составлены по типовой форме (идентичны по количеству граф, их названию, расшифровке работ и т. д. и отличаются только суммой), то в отношении их постоянных показателей достаточно однократного перевода на русски</w:t>
      </w:r>
      <w:r>
        <w:rPr>
          <w:rFonts w:ascii="Times New Roman" w:hAnsi="Times New Roman"/>
          <w:lang w:eastAsia="en-US"/>
        </w:rPr>
        <w:t xml:space="preserve">й язык. Впоследствии переводить нужно только изменяющиеся показатели </w:t>
      </w:r>
      <w:r>
        <w:rPr>
          <w:rFonts w:ascii="Times New Roman" w:hAnsi="Times New Roman"/>
          <w:lang w:eastAsia="en-US"/>
        </w:rPr>
        <w:lastRenderedPageBreak/>
        <w:t>данного первичного документа.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</w:rPr>
        <w:t xml:space="preserve">(Основание: </w:t>
      </w:r>
      <w:r>
        <w:rPr>
          <w:rStyle w:val="afd"/>
          <w:rFonts w:ascii="Times New Roman" w:hAnsi="Times New Roman"/>
          <w:color w:val="000000"/>
        </w:rPr>
        <w:t>п. 31</w:t>
      </w:r>
      <w:r>
        <w:rPr>
          <w:rFonts w:ascii="Times New Roman" w:hAnsi="Times New Roman"/>
        </w:rPr>
        <w:t xml:space="preserve"> СГС "Концептуальные основы", </w:t>
      </w:r>
      <w:r>
        <w:rPr>
          <w:rStyle w:val="afd"/>
          <w:rFonts w:ascii="Times New Roman" w:hAnsi="Times New Roman"/>
          <w:color w:val="000000"/>
        </w:rPr>
        <w:t>письмо</w:t>
      </w:r>
      <w:r>
        <w:rPr>
          <w:rFonts w:ascii="Times New Roman" w:hAnsi="Times New Roman"/>
        </w:rPr>
        <w:t xml:space="preserve"> Минфина России от 22.03.2010 N 03-03-06/1/168)</w:t>
      </w:r>
      <w:r>
        <w:rPr>
          <w:rFonts w:ascii="Times New Roman" w:hAnsi="Times New Roman"/>
          <w:lang w:eastAsia="en-US"/>
        </w:rPr>
        <w:t>.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 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  <w:lang w:eastAsia="en-US"/>
        </w:rPr>
        <w:t xml:space="preserve">5. </w:t>
      </w:r>
      <w:r>
        <w:rPr>
          <w:rFonts w:ascii="Times New Roman" w:hAnsi="Times New Roman"/>
        </w:rPr>
        <w:t>Регистры бюджетного учета оформляются:</w:t>
      </w:r>
    </w:p>
    <w:p w:rsidR="00E244F7" w:rsidRDefault="001E26CD">
      <w:pPr>
        <w:ind w:firstLine="0"/>
        <w:rPr>
          <w:rFonts w:ascii="Times New Roman" w:hAnsi="Times New Roman"/>
          <w:color w:val="000000"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t>- в электронном виде. Исключение составляют ситуации, когда федеральными законами или принимаемыми в соответствии с ними нормативными правовыми актами установлено требование о необходимости составления (хранения) регистров бухгалтерского учета исключительн</w:t>
      </w:r>
      <w:r>
        <w:rPr>
          <w:rStyle w:val="afe"/>
          <w:rFonts w:ascii="Times New Roman" w:hAnsi="Times New Roman"/>
          <w:b w:val="0"/>
          <w:bCs w:val="0"/>
          <w:color w:val="000000"/>
        </w:rPr>
        <w:t>о на бумажном носителе;</w:t>
      </w:r>
    </w:p>
    <w:p w:rsidR="00E244F7" w:rsidRDefault="001E26CD">
      <w:pPr>
        <w:ind w:firstLine="0"/>
        <w:rPr>
          <w:rFonts w:ascii="Times New Roman" w:hAnsi="Times New Roman"/>
          <w:color w:val="000000"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t>- на бумажных носителях в связи с отсутствием организационно-технической возможности формирования и хранения электронных регистров.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Заполнение регистров бюджетного учета на бумажных носителях осуществляется: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t>- при помощи прикладного</w:t>
      </w:r>
      <w:r>
        <w:rPr>
          <w:rStyle w:val="afe"/>
          <w:rFonts w:ascii="Times New Roman" w:hAnsi="Times New Roman"/>
          <w:b w:val="0"/>
          <w:bCs w:val="0"/>
          <w:color w:val="000000"/>
        </w:rPr>
        <w:t xml:space="preserve"> программного обеспечения с последующим выводом сформированных электронных регистров на печатающее устройство;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t>- вручную, в т.ч. с использованием текстовых редакторов и электронных таблиц;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t>- смешанным способом</w:t>
      </w:r>
      <w:r>
        <w:rPr>
          <w:rFonts w:ascii="Times New Roman" w:hAnsi="Times New Roman"/>
          <w:b/>
          <w:bCs/>
        </w:rPr>
        <w:t>.</w:t>
      </w:r>
    </w:p>
    <w:p w:rsidR="00E244F7" w:rsidRDefault="001E26CD">
      <w:pPr>
        <w:ind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>Заполнение электронных регистров, подписанных</w:t>
      </w:r>
      <w:r>
        <w:rPr>
          <w:rFonts w:ascii="Times New Roman" w:hAnsi="Times New Roman"/>
        </w:rPr>
        <w:t xml:space="preserve"> усиленной квалифицированной электронной подписью, ведется при помощи прикладного программного обеспечения и в формате, определенном этим программным обеспечением. Хранение сформированных электронных регистров, на основании которых составлена бюджетная (фи</w:t>
      </w:r>
      <w:r>
        <w:rPr>
          <w:rFonts w:ascii="Times New Roman" w:hAnsi="Times New Roman"/>
        </w:rPr>
        <w:t>нансовая) отчетность, реализовано</w:t>
      </w:r>
      <w:r>
        <w:rPr>
          <w:rStyle w:val="afe"/>
          <w:rFonts w:ascii="Times New Roman" w:hAnsi="Times New Roman"/>
          <w:b w:val="0"/>
          <w:bCs w:val="0"/>
          <w:color w:val="000000"/>
        </w:rPr>
        <w:t xml:space="preserve"> </w:t>
      </w:r>
      <w:r>
        <w:rPr>
          <w:rStyle w:val="afe"/>
          <w:b w:val="0"/>
          <w:bCs w:val="0"/>
          <w:color w:val="000000"/>
        </w:rPr>
        <w:t>на жестком диске сервера</w:t>
      </w:r>
      <w:r>
        <w:rPr>
          <w:rStyle w:val="afe"/>
          <w:rFonts w:ascii="Times New Roman" w:hAnsi="Times New Roman"/>
          <w:b w:val="0"/>
          <w:bCs w:val="0"/>
          <w:color w:val="000000"/>
        </w:rPr>
        <w:t>; или иное</w:t>
      </w: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</w:rPr>
        <w:t xml:space="preserve">в течение </w:t>
      </w:r>
      <w:r>
        <w:rPr>
          <w:rStyle w:val="afe"/>
          <w:rFonts w:ascii="Times New Roman" w:hAnsi="Times New Roman"/>
          <w:b w:val="0"/>
          <w:color w:val="000000" w:themeColor="text1"/>
        </w:rPr>
        <w:t>5</w:t>
      </w:r>
      <w:r>
        <w:rPr>
          <w:rFonts w:ascii="Times New Roman" w:hAnsi="Times New Roman"/>
        </w:rPr>
        <w:t xml:space="preserve"> лет после окончания года, в котором они были составлены.</w:t>
      </w:r>
    </w:p>
    <w:p w:rsidR="00E244F7" w:rsidRDefault="001E26CD">
      <w:pPr>
        <w:pStyle w:val="aff"/>
        <w:ind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(Основание: </w:t>
      </w:r>
      <w:r>
        <w:rPr>
          <w:rStyle w:val="afd"/>
          <w:rFonts w:ascii="Times New Roman" w:hAnsi="Times New Roman"/>
          <w:color w:val="000000"/>
          <w:sz w:val="24"/>
        </w:rPr>
        <w:t>ч. 6</w:t>
      </w:r>
      <w:r>
        <w:rPr>
          <w:rFonts w:ascii="Times New Roman" w:hAnsi="Times New Roman"/>
          <w:sz w:val="24"/>
        </w:rPr>
        <w:t xml:space="preserve">, </w:t>
      </w:r>
      <w:r>
        <w:rPr>
          <w:rStyle w:val="afd"/>
          <w:rFonts w:ascii="Times New Roman" w:hAnsi="Times New Roman"/>
          <w:color w:val="000000"/>
          <w:sz w:val="24"/>
        </w:rPr>
        <w:t>ч. 7 ст. 10</w:t>
      </w:r>
      <w:r>
        <w:rPr>
          <w:rFonts w:ascii="Times New Roman" w:hAnsi="Times New Roman"/>
          <w:sz w:val="24"/>
        </w:rPr>
        <w:t xml:space="preserve"> Закона N 402-ФЗ, </w:t>
      </w:r>
      <w:r>
        <w:rPr>
          <w:rStyle w:val="afd"/>
          <w:rFonts w:ascii="Times New Roman" w:hAnsi="Times New Roman"/>
          <w:color w:val="000000"/>
          <w:sz w:val="24"/>
        </w:rPr>
        <w:t xml:space="preserve">п. 32 </w:t>
      </w:r>
      <w:r>
        <w:rPr>
          <w:rFonts w:ascii="Times New Roman" w:hAnsi="Times New Roman"/>
          <w:sz w:val="24"/>
        </w:rPr>
        <w:t xml:space="preserve">, </w:t>
      </w:r>
      <w:r>
        <w:rPr>
          <w:rStyle w:val="afd"/>
          <w:rFonts w:ascii="Times New Roman" w:hAnsi="Times New Roman"/>
          <w:color w:val="000000"/>
          <w:sz w:val="24"/>
        </w:rPr>
        <w:t>п. 33</w:t>
      </w:r>
      <w:r>
        <w:rPr>
          <w:rFonts w:ascii="Times New Roman" w:hAnsi="Times New Roman"/>
          <w:sz w:val="24"/>
        </w:rPr>
        <w:t xml:space="preserve"> СГС "Концептуальные основы", </w:t>
      </w:r>
      <w:r>
        <w:rPr>
          <w:rStyle w:val="afd"/>
          <w:rFonts w:ascii="Times New Roman" w:hAnsi="Times New Roman"/>
          <w:color w:val="000000"/>
          <w:sz w:val="24"/>
        </w:rPr>
        <w:t>п.п. 11, 19</w:t>
      </w:r>
      <w:r>
        <w:rPr>
          <w:rFonts w:ascii="Times New Roman" w:hAnsi="Times New Roman"/>
          <w:sz w:val="24"/>
        </w:rPr>
        <w:t xml:space="preserve"> Инструкции N 157н).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 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6. Журнал операций расчетов по оплате труда, денежному довольствию и стипендиям (ф. 0504071) ведется раздельно по кодам финансового обеспечения деятельности и раздельно по счетам: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– КБК Х.302.11 «Расчеты по заработной плате» и КБК Х.</w:t>
      </w:r>
      <w:r>
        <w:rPr>
          <w:rFonts w:ascii="Times New Roman" w:hAnsi="Times New Roman"/>
          <w:lang w:eastAsia="en-US"/>
        </w:rPr>
        <w:t>302.13 «Расчеты по начислениям на выплаты по оплате труда»;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– КБК Х.302.12 «Расчеты по прочим выплатам»;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– КБК Х.302.96 «Расчеты по иным расходам».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</w:rPr>
        <w:t xml:space="preserve">(Основание: </w:t>
      </w:r>
      <w:r>
        <w:rPr>
          <w:rStyle w:val="afd"/>
          <w:rFonts w:ascii="Times New Roman" w:hAnsi="Times New Roman"/>
          <w:color w:val="000000"/>
        </w:rPr>
        <w:t>п.п. 11, 19</w:t>
      </w:r>
      <w:r>
        <w:rPr>
          <w:rFonts w:ascii="Times New Roman" w:hAnsi="Times New Roman"/>
        </w:rPr>
        <w:t xml:space="preserve"> Инструкции N 157н)</w:t>
      </w:r>
      <w:r>
        <w:rPr>
          <w:rFonts w:ascii="Times New Roman" w:hAnsi="Times New Roman"/>
          <w:lang w:eastAsia="en-US"/>
        </w:rPr>
        <w:t>.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 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8. Журналам операций присваиваются номера согласно (Приложению № 4). Журналы операций подписываются главным бухгалтером и бухгалтером, составившим журнал операций.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 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9. Первичные и сводные учетные документы, бухгалтерские регистры оформляются </w:t>
      </w:r>
      <w:r>
        <w:rPr>
          <w:rStyle w:val="afe"/>
          <w:rFonts w:ascii="Times New Roman" w:hAnsi="Times New Roman"/>
          <w:b w:val="0"/>
          <w:bCs w:val="0"/>
          <w:color w:val="000000"/>
        </w:rPr>
        <w:t>в виде электр</w:t>
      </w:r>
      <w:r>
        <w:rPr>
          <w:rStyle w:val="afe"/>
          <w:rFonts w:ascii="Times New Roman" w:hAnsi="Times New Roman"/>
          <w:b w:val="0"/>
          <w:bCs w:val="0"/>
          <w:color w:val="000000"/>
        </w:rPr>
        <w:t>онных документов. Исключение составляют ситуации, когда федеральными законами или принимаемыми в соответствии с ними нормативными правовыми актами установлено требование о необходимости составления (хранения) документов исключительно на бумажном</w:t>
      </w:r>
      <w:r>
        <w:rPr>
          <w:rStyle w:val="afe"/>
          <w:b w:val="0"/>
          <w:bCs w:val="0"/>
          <w:color w:val="000000"/>
        </w:rPr>
        <w:t xml:space="preserve"> </w:t>
      </w:r>
      <w:r>
        <w:rPr>
          <w:rStyle w:val="afe"/>
          <w:rFonts w:ascii="Times New Roman" w:hAnsi="Times New Roman"/>
          <w:b w:val="0"/>
          <w:bCs w:val="0"/>
          <w:color w:val="000000"/>
        </w:rPr>
        <w:t>носителе.</w:t>
      </w:r>
      <w:r>
        <w:rPr>
          <w:rStyle w:val="afe"/>
          <w:b w:val="0"/>
          <w:bCs w:val="0"/>
          <w:color w:val="000000"/>
        </w:rPr>
        <w:t xml:space="preserve"> </w:t>
      </w:r>
      <w:r>
        <w:rPr>
          <w:rStyle w:val="afe"/>
          <w:rFonts w:ascii="Times New Roman" w:hAnsi="Times New Roman"/>
          <w:b w:val="0"/>
          <w:bCs w:val="0"/>
          <w:color w:val="000000"/>
        </w:rPr>
        <w:t>На бумажных носителях в связи с отсутствием организационно-технической возможности формирования и хранения электронных документов. Формы унифицированных электронных первичных учетных документов применяются для формирования первичных учетных документов на б</w:t>
      </w:r>
      <w:r>
        <w:rPr>
          <w:rStyle w:val="afe"/>
          <w:rFonts w:ascii="Times New Roman" w:hAnsi="Times New Roman"/>
          <w:b w:val="0"/>
          <w:bCs w:val="0"/>
          <w:color w:val="000000"/>
        </w:rPr>
        <w:t>умажном носителе с одновременным представлением лицу, на которое возложено ведение бухгалтерского учета, электронного образа (скан-копии) такого документа в объеме и порядке, установленными Графиком документооборота (Приложение № 2).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</w:rPr>
        <w:t>Заполнение учетных док</w:t>
      </w:r>
      <w:r>
        <w:rPr>
          <w:rFonts w:ascii="Times New Roman" w:hAnsi="Times New Roman"/>
        </w:rPr>
        <w:t>ументов на бумажных носителях осуществляется</w:t>
      </w:r>
      <w:r>
        <w:rPr>
          <w:rFonts w:ascii="Times New Roman" w:hAnsi="Times New Roman"/>
          <w:lang w:eastAsia="en-US"/>
        </w:rPr>
        <w:t xml:space="preserve"> </w:t>
      </w:r>
      <w:r>
        <w:rPr>
          <w:rStyle w:val="afe"/>
          <w:rFonts w:ascii="Times New Roman" w:hAnsi="Times New Roman"/>
          <w:b w:val="0"/>
          <w:bCs w:val="0"/>
          <w:color w:val="000000"/>
        </w:rPr>
        <w:t>вручную</w:t>
      </w:r>
      <w:r>
        <w:rPr>
          <w:rFonts w:ascii="Times New Roman" w:hAnsi="Times New Roman"/>
          <w:lang w:eastAsia="en-US"/>
        </w:rPr>
        <w:t xml:space="preserve">, </w:t>
      </w:r>
      <w:r>
        <w:rPr>
          <w:rStyle w:val="afe"/>
          <w:rFonts w:ascii="Times New Roman" w:hAnsi="Times New Roman"/>
          <w:b w:val="0"/>
          <w:bCs w:val="0"/>
          <w:color w:val="000000"/>
        </w:rPr>
        <w:t>с помощью компьютерной техники</w:t>
      </w:r>
      <w:r>
        <w:rPr>
          <w:rFonts w:ascii="Times New Roman" w:hAnsi="Times New Roman"/>
          <w:lang w:eastAsia="en-US"/>
        </w:rPr>
        <w:t xml:space="preserve">, </w:t>
      </w:r>
      <w:r>
        <w:rPr>
          <w:rStyle w:val="afe"/>
          <w:rFonts w:ascii="Times New Roman" w:hAnsi="Times New Roman"/>
          <w:b w:val="0"/>
          <w:bCs w:val="0"/>
          <w:color w:val="000000"/>
        </w:rPr>
        <w:t>смешанным способом.</w:t>
      </w:r>
    </w:p>
    <w:p w:rsidR="00E244F7" w:rsidRDefault="001E26CD">
      <w:pPr>
        <w:ind w:firstLine="0"/>
      </w:pPr>
      <w:r>
        <w:rPr>
          <w:rFonts w:ascii="Times New Roman" w:hAnsi="Times New Roman"/>
          <w:lang w:eastAsia="en-US"/>
        </w:rPr>
        <w:t xml:space="preserve"> </w:t>
      </w:r>
      <w:r>
        <w:t>Хранение первичных (сводных) электронных документов, принятых к учету, осуществляется:</w:t>
      </w:r>
    </w:p>
    <w:p w:rsidR="00E244F7" w:rsidRDefault="001E26CD">
      <w:pPr>
        <w:ind w:firstLine="0"/>
      </w:pPr>
      <w:r>
        <w:rPr>
          <w:rStyle w:val="afe"/>
          <w:b w:val="0"/>
          <w:bCs w:val="0"/>
          <w:color w:val="000000"/>
        </w:rPr>
        <w:t>- в сетевой папке на диске С;</w:t>
      </w:r>
    </w:p>
    <w:p w:rsidR="00E244F7" w:rsidRDefault="001E26CD">
      <w:pPr>
        <w:ind w:firstLine="0"/>
        <w:rPr>
          <w:rStyle w:val="afe"/>
          <w:b w:val="0"/>
          <w:color w:val="000000"/>
        </w:rPr>
      </w:pPr>
      <w:r>
        <w:lastRenderedPageBreak/>
        <w:t>-</w:t>
      </w:r>
      <w:r>
        <w:rPr>
          <w:rStyle w:val="afe"/>
          <w:b w:val="0"/>
          <w:bCs w:val="0"/>
          <w:color w:val="000000"/>
        </w:rPr>
        <w:t> с применением специализированн</w:t>
      </w:r>
      <w:r>
        <w:rPr>
          <w:rStyle w:val="afe"/>
          <w:b w:val="0"/>
          <w:bCs w:val="0"/>
          <w:color w:val="000000"/>
        </w:rPr>
        <w:t>ого программного продукта для электронного документооборота (</w:t>
      </w:r>
      <w:r>
        <w:rPr>
          <w:rStyle w:val="afe"/>
          <w:b w:val="0"/>
          <w:bCs w:val="0"/>
          <w:color w:val="000000" w:themeColor="text1"/>
        </w:rPr>
        <w:t>1С «Бухгалтерия»</w:t>
      </w:r>
      <w:r>
        <w:rPr>
          <w:rStyle w:val="afe"/>
          <w:b w:val="0"/>
          <w:bCs w:val="0"/>
          <w:color w:val="000000"/>
        </w:rPr>
        <w:t>).</w:t>
      </w:r>
    </w:p>
    <w:p w:rsidR="00E244F7" w:rsidRDefault="001E26CD">
      <w:pPr>
        <w:ind w:firstLine="0"/>
      </w:pPr>
      <w:r>
        <w:rPr>
          <w:rFonts w:ascii="Times New Roman" w:hAnsi="Times New Roman"/>
        </w:rPr>
        <w:t>Копии электронных документов формируются</w:t>
      </w:r>
      <w:r>
        <w:rPr>
          <w:rStyle w:val="afe"/>
          <w:b w:val="0"/>
          <w:bCs w:val="0"/>
          <w:color w:val="000000"/>
        </w:rPr>
        <w:t xml:space="preserve"> </w:t>
      </w:r>
      <w:r>
        <w:rPr>
          <w:rStyle w:val="afe"/>
          <w:rFonts w:ascii="Times New Roman" w:hAnsi="Times New Roman"/>
          <w:b w:val="0"/>
          <w:bCs w:val="0"/>
          <w:color w:val="000000"/>
        </w:rPr>
        <w:t>на бумажном носителе скриншотом или путем распечатывания</w:t>
      </w:r>
      <w:r>
        <w:rPr>
          <w:rFonts w:ascii="Times New Roman" w:hAnsi="Times New Roman"/>
        </w:rPr>
        <w:t xml:space="preserve"> и заверяются</w:t>
      </w:r>
      <w:r>
        <w:rPr>
          <w:rStyle w:val="afe"/>
          <w:b w:val="0"/>
          <w:bCs w:val="0"/>
          <w:color w:val="000000"/>
        </w:rPr>
        <w:t xml:space="preserve"> с указанием заверительной надписи "К</w:t>
      </w:r>
      <w:r>
        <w:rPr>
          <w:rStyle w:val="afe"/>
          <w:b w:val="0"/>
          <w:bCs w:val="0"/>
          <w:color w:val="000000"/>
        </w:rPr>
        <w:t>опия электронного документа верна"; должность лица, заверившего копию; личная подпись; расшифровка подписи (инициалы, фамилия); дата заверения.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szCs w:val="20"/>
        </w:rPr>
        <w:t>(Основание: п. 5, п. 6 ст. 9 Закона N 402-ФЗ, п. 32, п. 33 Стандарта "Концептуальные основы", п. 11 Инструкции N</w:t>
      </w:r>
      <w:r>
        <w:rPr>
          <w:rFonts w:ascii="Times New Roman" w:hAnsi="Times New Roman"/>
          <w:szCs w:val="20"/>
        </w:rPr>
        <w:t xml:space="preserve"> 157н, п.1 Приложения 5 Приказа N 52н, п. 6 Приложения N 5 Приказа N 61н)</w:t>
      </w:r>
      <w:r>
        <w:rPr>
          <w:rFonts w:ascii="Times New Roman" w:hAnsi="Times New Roman"/>
          <w:lang w:eastAsia="en-US"/>
        </w:rPr>
        <w:t>.</w:t>
      </w:r>
      <w:r>
        <w:rPr>
          <w:rFonts w:ascii="Times New Roman" w:hAnsi="Times New Roman"/>
          <w:lang w:eastAsia="en-US"/>
        </w:rPr>
        <w:t xml:space="preserve"> 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 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10. Электронные документы, подписанные квалифицированной электронной подписью, хранятся в электронном виде на съемных носителях информации в соответствии с порядком учета и хране</w:t>
      </w:r>
      <w:r>
        <w:rPr>
          <w:rFonts w:ascii="Times New Roman" w:hAnsi="Times New Roman"/>
          <w:lang w:eastAsia="en-US"/>
        </w:rPr>
        <w:t>ния съемных носителей информации. При этом ведется журнал учета и движения электронных носителей. Журнал должен быть пронумерован, прошнурован и скреплен печатью учреждения. Ведение и хранение журнала возлагается приказом руководителя на ответственного сот</w:t>
      </w:r>
      <w:r>
        <w:rPr>
          <w:rFonts w:ascii="Times New Roman" w:hAnsi="Times New Roman"/>
          <w:lang w:eastAsia="en-US"/>
        </w:rPr>
        <w:t>рудника учреждения.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Основание: пункт 33 СГС «Концептуальные основы бухучета и отчетности», пункт 14 Инструкции к Единому плану счетов № 157н.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 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11. В деятельности учреждения используются следующие бланки строгой отчетности: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– бланки трудовых книжек и вклад</w:t>
      </w:r>
      <w:r>
        <w:rPr>
          <w:rFonts w:ascii="Times New Roman" w:hAnsi="Times New Roman"/>
          <w:lang w:eastAsia="en-US"/>
        </w:rPr>
        <w:t>ышей к ним;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(Основание: пункт 337 Инструкции к Единому плану счетов № 157н).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 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12. Перечень должностей сотрудников, ответственных за учет, хранение и выдачу бланков строгой отчетности, приведен в (Приложении № 5).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 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13. Особенности применения первичных док</w:t>
      </w:r>
      <w:r>
        <w:rPr>
          <w:rFonts w:ascii="Times New Roman" w:hAnsi="Times New Roman"/>
          <w:lang w:eastAsia="en-US"/>
        </w:rPr>
        <w:t>ументов: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 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13.1. При приобретении и реализации нефинансовых активов составляется Акт о приеме-передаче объектов нефинансовых активов (ф. 0504101).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 </w:t>
      </w:r>
    </w:p>
    <w:p w:rsidR="00E244F7" w:rsidRDefault="001E26CD">
      <w:pPr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  <w:lang w:eastAsia="en-US"/>
        </w:rPr>
        <w:t>13.2. При ремонте нового оборудования, неисправность которого была выявлена при монтаже, составляется акт о</w:t>
      </w:r>
      <w:r>
        <w:rPr>
          <w:rFonts w:ascii="Times New Roman" w:hAnsi="Times New Roman"/>
          <w:lang w:eastAsia="en-US"/>
        </w:rPr>
        <w:t xml:space="preserve"> выявленных дефектах оборудования по форме № ОС-16 (ф. 0306008) </w:t>
      </w:r>
      <w:r>
        <w:rPr>
          <w:rStyle w:val="afe"/>
          <w:rFonts w:ascii="Times New Roman" w:hAnsi="Times New Roman"/>
          <w:b w:val="0"/>
          <w:bCs w:val="0"/>
          <w:color w:val="000000"/>
        </w:rPr>
        <w:t>утв. Постановлением Госкомстата России от 21.01.2003 N 7</w:t>
      </w:r>
      <w:r>
        <w:rPr>
          <w:rFonts w:ascii="Times New Roman" w:hAnsi="Times New Roman"/>
          <w:b/>
          <w:bCs/>
        </w:rPr>
        <w:t>.</w:t>
      </w:r>
    </w:p>
    <w:p w:rsidR="00E244F7" w:rsidRDefault="00E244F7">
      <w:pPr>
        <w:contextualSpacing/>
        <w:rPr>
          <w:rFonts w:ascii="Times New Roman" w:hAnsi="Times New Roman"/>
          <w:b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  <w:bCs/>
        </w:rPr>
        <w:t>14.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</w:rPr>
        <w:t>При ведении Инвентарной карточки (</w:t>
      </w:r>
      <w:r>
        <w:rPr>
          <w:rStyle w:val="afd"/>
          <w:rFonts w:ascii="Times New Roman" w:hAnsi="Times New Roman"/>
          <w:color w:val="000000"/>
        </w:rPr>
        <w:t>ф. 0504031</w:t>
      </w:r>
      <w:r>
        <w:rPr>
          <w:rFonts w:ascii="Times New Roman" w:hAnsi="Times New Roman"/>
        </w:rPr>
        <w:t>) в виде электронного документа (регистра), копии формируются на бумажных носителях: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t>- при закрытии Инвентарной карточки (выбытии инвентарного объекта);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t>- по требованию органов, осуществляющих контроль в соответствии с законодательством Российской Федерации, суда и прокуратуры.</w:t>
      </w:r>
    </w:p>
    <w:p w:rsidR="00E244F7" w:rsidRDefault="001E26CD">
      <w:pPr>
        <w:pStyle w:val="aff"/>
        <w:ind w:firstLine="0"/>
      </w:pPr>
      <w:r>
        <w:rPr>
          <w:rFonts w:ascii="Times New Roman" w:hAnsi="Times New Roman"/>
          <w:sz w:val="24"/>
        </w:rPr>
        <w:t xml:space="preserve">(Основание: </w:t>
      </w:r>
      <w:r>
        <w:rPr>
          <w:rStyle w:val="afd"/>
          <w:rFonts w:ascii="Times New Roman" w:hAnsi="Times New Roman"/>
          <w:color w:val="000000"/>
          <w:sz w:val="24"/>
        </w:rPr>
        <w:t>Методические указания</w:t>
      </w:r>
      <w:r>
        <w:rPr>
          <w:rFonts w:ascii="Times New Roman" w:hAnsi="Times New Roman"/>
          <w:sz w:val="24"/>
        </w:rPr>
        <w:t>, утвержденные Приказом N 52н</w:t>
      </w:r>
      <w:r>
        <w:rPr>
          <w:rFonts w:ascii="Times New Roman" w:hAnsi="Times New Roman"/>
          <w:sz w:val="24"/>
        </w:rPr>
        <w:t>)</w:t>
      </w:r>
      <w:r>
        <w:t>.</w:t>
      </w:r>
    </w:p>
    <w:p w:rsidR="00E244F7" w:rsidRDefault="00E244F7">
      <w:pPr>
        <w:pStyle w:val="aff"/>
        <w:ind w:firstLine="0"/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15. При заполнении Табеля (</w:t>
      </w:r>
      <w:r>
        <w:rPr>
          <w:rStyle w:val="afd"/>
          <w:rFonts w:ascii="Times New Roman" w:hAnsi="Times New Roman"/>
          <w:color w:val="000000"/>
        </w:rPr>
        <w:t>ф. 0504421</w:t>
      </w:r>
      <w:r>
        <w:rPr>
          <w:rFonts w:ascii="Times New Roman" w:hAnsi="Times New Roman"/>
        </w:rPr>
        <w:t>) применяются следующие дополнительные условные обозначения: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t>- дополнительные выходные дни (оплачиваемые) ОВ;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t>- дополнительные выходные дни без сохранения заработной платы НВ;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t>- продолжительность работы в режиме неп</w:t>
      </w:r>
      <w:r>
        <w:rPr>
          <w:rStyle w:val="afe"/>
          <w:rFonts w:ascii="Times New Roman" w:hAnsi="Times New Roman"/>
          <w:b w:val="0"/>
          <w:bCs w:val="0"/>
          <w:color w:val="000000"/>
        </w:rPr>
        <w:t>олного рабочего времени  по инициативе работодателя в случаях, предусмотренных законодательством) НП;</w:t>
      </w:r>
    </w:p>
    <w:p w:rsidR="00E244F7" w:rsidRDefault="001E26CD">
      <w:pPr>
        <w:ind w:firstLine="0"/>
        <w:rPr>
          <w:rFonts w:ascii="Times New Roman" w:hAnsi="Times New Roman"/>
          <w:color w:val="000000"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t>- отстранение от работы (недопущение к работе) по причинам, предусмотренным законодательством, без сохранения заработной платы) НБ;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 профессиональное раз</w:t>
      </w:r>
      <w:r>
        <w:rPr>
          <w:rFonts w:ascii="Times New Roman" w:hAnsi="Times New Roman"/>
        </w:rPr>
        <w:t xml:space="preserve">витие с отрывом от работы (профессиональная переподготовка, повышение квалификации, семинары, тренинги, конференции, служебные стажировки и иные мероприятия, направленные преимущественно на ускоренное приобретение </w:t>
      </w:r>
      <w:r>
        <w:rPr>
          <w:rFonts w:ascii="Times New Roman" w:hAnsi="Times New Roman"/>
        </w:rPr>
        <w:lastRenderedPageBreak/>
        <w:t>работником новых знаний и умений) ПК;</w:t>
      </w:r>
    </w:p>
    <w:p w:rsidR="00E244F7" w:rsidRDefault="001E26CD">
      <w:pPr>
        <w:pStyle w:val="aff"/>
        <w:ind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(Осн</w:t>
      </w:r>
      <w:r>
        <w:rPr>
          <w:rFonts w:ascii="Times New Roman" w:hAnsi="Times New Roman"/>
          <w:sz w:val="24"/>
        </w:rPr>
        <w:t xml:space="preserve">ование: </w:t>
      </w:r>
      <w:r>
        <w:rPr>
          <w:rStyle w:val="afd"/>
          <w:rFonts w:ascii="Times New Roman" w:hAnsi="Times New Roman"/>
          <w:color w:val="000000"/>
          <w:sz w:val="24"/>
        </w:rPr>
        <w:t>Методические указания</w:t>
      </w:r>
      <w:r>
        <w:rPr>
          <w:rFonts w:ascii="Times New Roman" w:hAnsi="Times New Roman"/>
          <w:sz w:val="24"/>
        </w:rPr>
        <w:t>, утвержденные Приказом N 52н).</w:t>
      </w:r>
    </w:p>
    <w:p w:rsidR="00E244F7" w:rsidRDefault="00E244F7">
      <w:pPr>
        <w:pStyle w:val="aff"/>
        <w:ind w:firstLine="0"/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16. Унифицированная форма "Акт о списании материальных запасов" (</w:t>
      </w:r>
      <w:r>
        <w:rPr>
          <w:rStyle w:val="afd"/>
          <w:rFonts w:ascii="Times New Roman" w:hAnsi="Times New Roman"/>
          <w:color w:val="000000"/>
        </w:rPr>
        <w:t>ф. 0504230</w:t>
      </w:r>
      <w:r>
        <w:rPr>
          <w:rFonts w:ascii="Times New Roman" w:hAnsi="Times New Roman"/>
        </w:rPr>
        <w:t>) используется при:</w:t>
      </w:r>
    </w:p>
    <w:p w:rsidR="00E244F7" w:rsidRDefault="001E26CD">
      <w:pPr>
        <w:ind w:firstLine="0"/>
        <w:rPr>
          <w:rFonts w:ascii="Times New Roman" w:hAnsi="Times New Roman"/>
          <w:color w:val="000000"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t>- списании на нужды учреждения нормируемых и иных материальных запасов, которые согласно положениям</w:t>
      </w:r>
      <w:r>
        <w:rPr>
          <w:rStyle w:val="afe"/>
          <w:rFonts w:ascii="Times New Roman" w:hAnsi="Times New Roman"/>
          <w:b w:val="0"/>
          <w:bCs w:val="0"/>
          <w:color w:val="000000"/>
        </w:rPr>
        <w:t xml:space="preserve"> настоящей Учетной политики не отнесены к потребляемым; </w:t>
      </w:r>
    </w:p>
    <w:p w:rsidR="00E244F7" w:rsidRDefault="001E26CD">
      <w:pPr>
        <w:pStyle w:val="aff"/>
        <w:ind w:firstLine="0"/>
        <w:rPr>
          <w:rStyle w:val="afe"/>
          <w:rFonts w:ascii="Times New Roman" w:hAnsi="Times New Roman"/>
          <w:b w:val="0"/>
          <w:color w:val="000000"/>
          <w:sz w:val="24"/>
        </w:rPr>
      </w:pPr>
      <w:r>
        <w:rPr>
          <w:rStyle w:val="afe"/>
          <w:rFonts w:ascii="Times New Roman" w:hAnsi="Times New Roman"/>
          <w:b w:val="0"/>
          <w:bCs w:val="0"/>
          <w:color w:val="000000"/>
          <w:sz w:val="24"/>
        </w:rPr>
        <w:t>- списании материальных запасов, пришедших в негодность вследствие физического износа или вследствие стихийных бедствий, иных бедствий, опасного природного явления, катастрофы.</w:t>
      </w:r>
    </w:p>
    <w:p w:rsidR="00E244F7" w:rsidRDefault="00E244F7">
      <w:pPr>
        <w:pStyle w:val="aff"/>
        <w:ind w:firstLine="0"/>
        <w:rPr>
          <w:rStyle w:val="afe"/>
          <w:rFonts w:ascii="Times New Roman" w:hAnsi="Times New Roman"/>
          <w:b w:val="0"/>
          <w:color w:val="000000"/>
          <w:sz w:val="24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t xml:space="preserve">17. </w:t>
      </w:r>
      <w:r>
        <w:rPr>
          <w:rFonts w:ascii="Times New Roman" w:hAnsi="Times New Roman"/>
        </w:rPr>
        <w:t>Унифицированная форма "Акт о списании мягкого и хозяйственного инвентаря (</w:t>
      </w:r>
      <w:r>
        <w:rPr>
          <w:rStyle w:val="afd"/>
          <w:rFonts w:ascii="Times New Roman" w:hAnsi="Times New Roman"/>
          <w:color w:val="000000"/>
        </w:rPr>
        <w:t>ф. 0504143</w:t>
      </w:r>
      <w:r>
        <w:rPr>
          <w:rFonts w:ascii="Times New Roman" w:hAnsi="Times New Roman"/>
        </w:rPr>
        <w:t>) используется при: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t>- списании мягкого инвентаря;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t>- списании посуды;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t>- списании однородных предметов хозяйственного инвентаря стоимостью свыше 10 000 рублей до 100 000 рубл</w:t>
      </w:r>
      <w:r>
        <w:rPr>
          <w:rStyle w:val="afe"/>
          <w:rFonts w:ascii="Times New Roman" w:hAnsi="Times New Roman"/>
          <w:b w:val="0"/>
          <w:bCs w:val="0"/>
          <w:color w:val="000000"/>
        </w:rPr>
        <w:t>ей включительно;</w:t>
      </w:r>
    </w:p>
    <w:p w:rsidR="00E244F7" w:rsidRDefault="001E26CD">
      <w:pPr>
        <w:ind w:firstLine="0"/>
        <w:rPr>
          <w:rStyle w:val="afe"/>
          <w:rFonts w:ascii="Times New Roman" w:hAnsi="Times New Roman"/>
          <w:b w:val="0"/>
          <w:color w:val="000000"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t>- выбытии объектов основных средств стоимостью до 10 000 рублей включительно с забалансового учета.</w:t>
      </w:r>
    </w:p>
    <w:p w:rsidR="00E244F7" w:rsidRDefault="00E244F7">
      <w:pPr>
        <w:ind w:firstLine="0"/>
        <w:rPr>
          <w:rFonts w:ascii="Times New Roman" w:hAnsi="Times New Roman"/>
          <w:b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18.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Хозяйственные операции, отражаемые в учете в оценочном значении, оформляются следующим первичным документом: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t>-  "Экспертным заключение</w:t>
      </w:r>
      <w:r>
        <w:rPr>
          <w:rStyle w:val="afe"/>
          <w:rFonts w:ascii="Times New Roman" w:hAnsi="Times New Roman"/>
          <w:b w:val="0"/>
          <w:bCs w:val="0"/>
          <w:color w:val="000000"/>
        </w:rPr>
        <w:t>м"/"</w:t>
      </w:r>
      <w:r>
        <w:rPr>
          <w:rStyle w:val="afd"/>
          <w:rFonts w:ascii="Times New Roman" w:hAnsi="Times New Roman"/>
          <w:color w:val="000000"/>
        </w:rPr>
        <w:t>Профессиональным суждением</w:t>
      </w:r>
      <w:r>
        <w:rPr>
          <w:rStyle w:val="afe"/>
          <w:rFonts w:ascii="Times New Roman" w:hAnsi="Times New Roman"/>
          <w:b w:val="0"/>
          <w:bCs w:val="0"/>
          <w:color w:val="000000"/>
        </w:rPr>
        <w:t>" и Бухгалтерской справкой (</w:t>
      </w:r>
      <w:r>
        <w:rPr>
          <w:rStyle w:val="afd"/>
          <w:rFonts w:ascii="Times New Roman" w:hAnsi="Times New Roman"/>
          <w:color w:val="000000"/>
        </w:rPr>
        <w:t>ф. 0504833</w:t>
      </w:r>
      <w:r>
        <w:rPr>
          <w:rStyle w:val="afe"/>
          <w:rFonts w:ascii="Times New Roman" w:hAnsi="Times New Roman"/>
          <w:b w:val="0"/>
          <w:bCs w:val="0"/>
          <w:color w:val="000000"/>
        </w:rPr>
        <w:t>)</w:t>
      </w:r>
      <w:r>
        <w:rPr>
          <w:rFonts w:ascii="Times New Roman" w:hAnsi="Times New Roman"/>
        </w:rPr>
        <w:t>.</w:t>
      </w:r>
    </w:p>
    <w:p w:rsidR="00E244F7" w:rsidRDefault="001E26CD">
      <w:pPr>
        <w:pStyle w:val="aff"/>
        <w:ind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(Основание: </w:t>
      </w:r>
      <w:r>
        <w:rPr>
          <w:rStyle w:val="afd"/>
          <w:rFonts w:ascii="Times New Roman" w:hAnsi="Times New Roman"/>
          <w:color w:val="000000"/>
          <w:sz w:val="24"/>
        </w:rPr>
        <w:t>п. 10</w:t>
      </w:r>
      <w:r>
        <w:rPr>
          <w:rFonts w:ascii="Times New Roman" w:hAnsi="Times New Roman"/>
          <w:sz w:val="24"/>
        </w:rPr>
        <w:t xml:space="preserve"> Методических рекомендаций, доведенных </w:t>
      </w:r>
      <w:r>
        <w:rPr>
          <w:rStyle w:val="afd"/>
          <w:rFonts w:ascii="Times New Roman" w:hAnsi="Times New Roman"/>
          <w:color w:val="000000"/>
          <w:sz w:val="24"/>
        </w:rPr>
        <w:t>письмом</w:t>
      </w:r>
      <w:r>
        <w:rPr>
          <w:rFonts w:ascii="Times New Roman" w:hAnsi="Times New Roman"/>
          <w:sz w:val="24"/>
        </w:rPr>
        <w:t xml:space="preserve"> Минфина России от 31.08.2018 N 02-06-07/62480).</w:t>
      </w:r>
    </w:p>
    <w:p w:rsidR="00E244F7" w:rsidRDefault="00E244F7">
      <w:pPr>
        <w:pStyle w:val="aff"/>
        <w:ind w:firstLine="0"/>
        <w:rPr>
          <w:rFonts w:ascii="Times New Roman" w:hAnsi="Times New Roman"/>
          <w:sz w:val="24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19. Договор</w:t>
      </w:r>
      <w:r>
        <w:rPr>
          <w:rFonts w:ascii="Times New Roman" w:hAnsi="Times New Roman"/>
        </w:rPr>
        <w:t xml:space="preserve"> возмездного оказания услуг или подряда, в т.ч. строительного подряда, следует считать долгосрочным договором, если: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договорной срок исполнения обязательств превышает 12 месяцев;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</w:t>
      </w:r>
      <w:r>
        <w:rPr>
          <w:rStyle w:val="afe"/>
          <w:rFonts w:ascii="Times New Roman" w:hAnsi="Times New Roman"/>
          <w:b w:val="0"/>
          <w:bCs w:val="0"/>
          <w:color w:val="000000"/>
        </w:rPr>
        <w:t>договорной</w:t>
      </w:r>
      <w:r>
        <w:rPr>
          <w:rFonts w:ascii="Times New Roman" w:hAnsi="Times New Roman"/>
          <w:b/>
          <w:bCs/>
        </w:rPr>
        <w:t xml:space="preserve"> </w:t>
      </w:r>
      <w:r>
        <w:rPr>
          <w:rStyle w:val="afe"/>
          <w:rFonts w:ascii="Times New Roman" w:hAnsi="Times New Roman"/>
          <w:b w:val="0"/>
          <w:bCs w:val="0"/>
          <w:color w:val="000000"/>
        </w:rPr>
        <w:t>срок исполнения обязательств составляет менее 12 месяцев, но д</w:t>
      </w:r>
      <w:r>
        <w:rPr>
          <w:rStyle w:val="afe"/>
          <w:rFonts w:ascii="Times New Roman" w:hAnsi="Times New Roman"/>
          <w:b w:val="0"/>
          <w:bCs w:val="0"/>
          <w:color w:val="000000"/>
        </w:rPr>
        <w:t>ата начала и окончания исполнения относятся к разным финансовым (календарным) годам</w:t>
      </w:r>
      <w:r>
        <w:rPr>
          <w:rFonts w:ascii="Times New Roman" w:hAnsi="Times New Roman"/>
          <w:b/>
          <w:bCs/>
        </w:rPr>
        <w:t>.</w:t>
      </w:r>
    </w:p>
    <w:p w:rsidR="00E244F7" w:rsidRDefault="001E26CD">
      <w:pPr>
        <w:pStyle w:val="aff"/>
        <w:ind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(Основание: </w:t>
      </w:r>
      <w:r>
        <w:rPr>
          <w:rStyle w:val="afd"/>
          <w:rFonts w:ascii="Times New Roman" w:hAnsi="Times New Roman"/>
          <w:color w:val="000000"/>
          <w:sz w:val="24"/>
        </w:rPr>
        <w:t>п. 5</w:t>
      </w:r>
      <w:r>
        <w:rPr>
          <w:rFonts w:ascii="Times New Roman" w:hAnsi="Times New Roman"/>
          <w:sz w:val="24"/>
        </w:rPr>
        <w:t xml:space="preserve"> СГС "Долгосрочные договоры").</w:t>
      </w:r>
    </w:p>
    <w:p w:rsidR="00E244F7" w:rsidRDefault="00E244F7">
      <w:pPr>
        <w:pStyle w:val="aff"/>
        <w:ind w:firstLine="0"/>
        <w:rPr>
          <w:rFonts w:ascii="Times New Roman" w:hAnsi="Times New Roman"/>
          <w:sz w:val="24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20. Обеспечение достоверности данных бюджетного учета и годовой бюджетной отчетности достигается путем инвентаризации актив</w:t>
      </w:r>
      <w:r>
        <w:rPr>
          <w:rFonts w:ascii="Times New Roman" w:hAnsi="Times New Roman"/>
        </w:rPr>
        <w:t>ов и обязательств.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Инвентаризации проводятся согласно Положению об инвентаризации (</w:t>
      </w:r>
      <w:r>
        <w:rPr>
          <w:rStyle w:val="afd"/>
          <w:rFonts w:ascii="Times New Roman" w:hAnsi="Times New Roman"/>
          <w:color w:val="000000"/>
        </w:rPr>
        <w:t>Приложение</w:t>
      </w:r>
      <w:r>
        <w:rPr>
          <w:rFonts w:ascii="Times New Roman" w:hAnsi="Times New Roman"/>
        </w:rPr>
        <w:t xml:space="preserve"> </w:t>
      </w:r>
      <w:r>
        <w:rPr>
          <w:rStyle w:val="afe"/>
          <w:rFonts w:ascii="Times New Roman" w:hAnsi="Times New Roman"/>
          <w:color w:val="000000"/>
        </w:rPr>
        <w:t>№</w:t>
      </w:r>
      <w:r>
        <w:rPr>
          <w:rStyle w:val="afe"/>
          <w:rFonts w:ascii="Times New Roman" w:hAnsi="Times New Roman"/>
          <w:color w:val="000000"/>
          <w:highlight w:val="white"/>
        </w:rPr>
        <w:t> </w:t>
      </w:r>
      <w:r>
        <w:rPr>
          <w:rStyle w:val="afe"/>
          <w:rFonts w:ascii="Times New Roman" w:hAnsi="Times New Roman"/>
          <w:b w:val="0"/>
          <w:color w:val="000000"/>
          <w:highlight w:val="white"/>
        </w:rPr>
        <w:t>8</w:t>
      </w:r>
      <w:r>
        <w:rPr>
          <w:rFonts w:ascii="Times New Roman" w:hAnsi="Times New Roman"/>
          <w:highlight w:val="white"/>
        </w:rPr>
        <w:t>).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В отношении нефинансовых активов проведение инвентаризационных процедур в целях подтверждения достоверности показателей годовой отчетности не могут быть нач</w:t>
      </w:r>
      <w:r>
        <w:rPr>
          <w:rFonts w:ascii="Times New Roman" w:hAnsi="Times New Roman"/>
        </w:rPr>
        <w:t>аты ранее</w:t>
      </w:r>
      <w:r>
        <w:rPr>
          <w:rStyle w:val="afe"/>
          <w:rFonts w:ascii="Times New Roman" w:hAnsi="Times New Roman"/>
          <w:color w:val="000000"/>
        </w:rPr>
        <w:t xml:space="preserve"> </w:t>
      </w:r>
      <w:r>
        <w:rPr>
          <w:rStyle w:val="afe"/>
          <w:rFonts w:ascii="Times New Roman" w:hAnsi="Times New Roman"/>
          <w:b w:val="0"/>
          <w:bCs w:val="0"/>
          <w:color w:val="000000"/>
        </w:rPr>
        <w:t>1 октября</w:t>
      </w:r>
      <w:r>
        <w:rPr>
          <w:rFonts w:ascii="Times New Roman" w:hAnsi="Times New Roman"/>
          <w:b/>
          <w:bCs/>
        </w:rPr>
        <w:t>.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Оценка соответствия объектов учета понятию "Актив" проводится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t>- при годовой инвентаризации, проводимой в целях составления годовой отчетности</w:t>
      </w:r>
    </w:p>
    <w:p w:rsidR="00E244F7" w:rsidRDefault="001E26CD">
      <w:pPr>
        <w:pStyle w:val="aff"/>
        <w:ind w:firstLine="0"/>
      </w:pPr>
      <w:r>
        <w:rPr>
          <w:rFonts w:ascii="Times New Roman" w:hAnsi="Times New Roman"/>
          <w:sz w:val="24"/>
        </w:rPr>
        <w:t xml:space="preserve">(Основание: </w:t>
      </w:r>
      <w:r>
        <w:rPr>
          <w:rStyle w:val="afd"/>
          <w:rFonts w:ascii="Times New Roman" w:hAnsi="Times New Roman"/>
          <w:color w:val="000000"/>
          <w:sz w:val="24"/>
        </w:rPr>
        <w:t>ч. 3 ст. 11</w:t>
      </w:r>
      <w:r>
        <w:rPr>
          <w:rFonts w:ascii="Times New Roman" w:hAnsi="Times New Roman"/>
          <w:sz w:val="24"/>
        </w:rPr>
        <w:t xml:space="preserve"> Закона N 402-ФЗ, </w:t>
      </w:r>
      <w:r>
        <w:rPr>
          <w:rStyle w:val="afd"/>
          <w:rFonts w:ascii="Times New Roman" w:hAnsi="Times New Roman"/>
          <w:color w:val="000000"/>
          <w:sz w:val="24"/>
        </w:rPr>
        <w:t>п.п. 80,</w:t>
      </w:r>
      <w:r>
        <w:rPr>
          <w:rFonts w:ascii="Times New Roman" w:hAnsi="Times New Roman"/>
          <w:sz w:val="24"/>
        </w:rPr>
        <w:t xml:space="preserve"> </w:t>
      </w:r>
      <w:r>
        <w:rPr>
          <w:rStyle w:val="afd"/>
          <w:rFonts w:ascii="Times New Roman" w:hAnsi="Times New Roman"/>
          <w:color w:val="000000"/>
          <w:sz w:val="24"/>
        </w:rPr>
        <w:t>81</w:t>
      </w:r>
      <w:r>
        <w:rPr>
          <w:rFonts w:ascii="Times New Roman" w:hAnsi="Times New Roman"/>
          <w:sz w:val="24"/>
        </w:rPr>
        <w:t xml:space="preserve"> СГС "Концептуальные основы", </w:t>
      </w:r>
      <w:r>
        <w:rPr>
          <w:rStyle w:val="afd"/>
          <w:rFonts w:ascii="Times New Roman" w:hAnsi="Times New Roman"/>
          <w:color w:val="000000"/>
          <w:sz w:val="24"/>
        </w:rPr>
        <w:t>пп. в) п. 9</w:t>
      </w:r>
      <w:r>
        <w:rPr>
          <w:rFonts w:ascii="Times New Roman" w:hAnsi="Times New Roman"/>
          <w:sz w:val="24"/>
        </w:rPr>
        <w:t xml:space="preserve"> СГС "Учетная политика, оценочные значения и ошибки").</w:t>
      </w:r>
    </w:p>
    <w:p w:rsidR="00E244F7" w:rsidRDefault="00E244F7">
      <w:pPr>
        <w:pStyle w:val="aff"/>
        <w:ind w:firstLine="0"/>
      </w:pPr>
    </w:p>
    <w:p w:rsidR="00E244F7" w:rsidRDefault="00E244F7">
      <w:pPr>
        <w:contextualSpacing/>
        <w:rPr>
          <w:rFonts w:ascii="Times New Roman" w:hAnsi="Times New Roman"/>
          <w:lang w:eastAsia="en-US"/>
        </w:rPr>
      </w:pPr>
    </w:p>
    <w:p w:rsidR="00E244F7" w:rsidRDefault="001E26CD">
      <w:pPr>
        <w:contextualSpacing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>IV. План счетов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 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1. </w:t>
      </w:r>
      <w:r>
        <w:rPr>
          <w:rFonts w:ascii="Times New Roman" w:hAnsi="Times New Roman"/>
        </w:rPr>
        <w:t>Бюджетный учет ведется с применением Единого плана счетов, утвержденного приказом Минфина России от 01.12.2010 N 157н, Плана счетов бюджетного учета и, разработанного на их основ</w:t>
      </w:r>
      <w:r>
        <w:rPr>
          <w:rFonts w:ascii="Times New Roman" w:hAnsi="Times New Roman"/>
        </w:rPr>
        <w:t xml:space="preserve">е, </w:t>
      </w:r>
      <w:r>
        <w:rPr>
          <w:rFonts w:ascii="Times New Roman" w:hAnsi="Times New Roman"/>
          <w:highlight w:val="white"/>
        </w:rPr>
        <w:t>Рабочего плана счетов</w:t>
      </w:r>
      <w:r>
        <w:rPr>
          <w:rFonts w:ascii="Times New Roman" w:hAnsi="Times New Roman"/>
          <w:highlight w:val="white"/>
          <w:lang w:eastAsia="en-US"/>
        </w:rPr>
        <w:t xml:space="preserve"> (Приложение № 10). 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Кроме забалансовых счетов, утвержденных в Инструкции к Единому плану счетов № 157н, учреждение применяет дополнительные забалансовые счета, утвержденные в Рабочем плане счетов (Приложение № 10). 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lastRenderedPageBreak/>
        <w:t>(Основание: пун</w:t>
      </w:r>
      <w:r>
        <w:rPr>
          <w:rFonts w:ascii="Times New Roman" w:hAnsi="Times New Roman"/>
          <w:lang w:eastAsia="en-US"/>
        </w:rPr>
        <w:t>кт 332 Инструкции к Единому плану счетов № 157н, пункт 19 СГС «Концептуальные основы бухучета и отчетности»).</w:t>
      </w:r>
    </w:p>
    <w:p w:rsidR="00E244F7" w:rsidRDefault="00E244F7">
      <w:pPr>
        <w:contextualSpacing/>
        <w:rPr>
          <w:rFonts w:ascii="Times New Roman" w:hAnsi="Times New Roman"/>
          <w:lang w:eastAsia="en-US"/>
        </w:rPr>
      </w:pPr>
    </w:p>
    <w:p w:rsidR="00E244F7" w:rsidRDefault="00E244F7">
      <w:pPr>
        <w:contextualSpacing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E244F7" w:rsidRDefault="001E26CD">
      <w:pPr>
        <w:contextualSpacing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>V. Учет отдельных видов имущества и обязательств</w:t>
      </w:r>
    </w:p>
    <w:p w:rsidR="00E244F7" w:rsidRDefault="001E26CD">
      <w:pPr>
        <w:contextualSpacing/>
        <w:rPr>
          <w:rFonts w:ascii="Times New Roman" w:hAnsi="Times New Roman"/>
          <w:b/>
          <w:lang w:eastAsia="en-US"/>
        </w:rPr>
      </w:pPr>
      <w:r>
        <w:rPr>
          <w:rFonts w:ascii="Times New Roman" w:hAnsi="Times New Roman"/>
          <w:b/>
          <w:lang w:eastAsia="en-US"/>
        </w:rPr>
        <w:t xml:space="preserve"> 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1. Бухучет ведется по первичным документам, которые проверены сотрудниками бухгалтерии в соот</w:t>
      </w:r>
      <w:r>
        <w:rPr>
          <w:rFonts w:ascii="Times New Roman" w:hAnsi="Times New Roman"/>
          <w:lang w:eastAsia="en-US"/>
        </w:rPr>
        <w:t>ветствии с Положением о внутреннем финансовом контроле (Приложение № 9).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(Основание: пункт 3 Инструкции к Единому плану счетов № 157н, пункт 23 СГС «Концептуальные основы бухучета и отчетности»).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 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2. Для случаев, которые не установлены в федеральных станд</w:t>
      </w:r>
      <w:r>
        <w:rPr>
          <w:rFonts w:ascii="Times New Roman" w:hAnsi="Times New Roman"/>
          <w:lang w:eastAsia="en-US"/>
        </w:rPr>
        <w:t>артах и других нормативно-правовых актах, регулирующих бухучет, метод определения справедливой стоимости выбирает комиссия учреждения по поступлению и выбытию активов.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Основание: пункт 54 СГС «Концептуальные основы бухучета и отчетности».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 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3. В случае если для показателя, необходимого для ведения бухгалтерского учета, не установлен метод оценки в законодательстве и в настоящей учетной политике, то величина оценочного показателя определяется профессиональным суждением главного бухгалтера.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Осн</w:t>
      </w:r>
      <w:r>
        <w:rPr>
          <w:rFonts w:ascii="Times New Roman" w:hAnsi="Times New Roman"/>
          <w:lang w:eastAsia="en-US"/>
        </w:rPr>
        <w:t>ование: пункт 6 СГС «Учетная политика, оценочные значения и ошибки».</w:t>
      </w:r>
    </w:p>
    <w:p w:rsidR="00E244F7" w:rsidRDefault="00E244F7">
      <w:pPr>
        <w:contextualSpacing/>
        <w:rPr>
          <w:rFonts w:ascii="Times New Roman" w:hAnsi="Times New Roman"/>
          <w:lang w:eastAsia="en-US"/>
        </w:rPr>
      </w:pPr>
    </w:p>
    <w:p w:rsidR="00E244F7" w:rsidRDefault="001E26CD">
      <w:pPr>
        <w:contextualSpacing/>
        <w:rPr>
          <w:rFonts w:ascii="Times New Roman" w:hAnsi="Times New Roman"/>
          <w:b/>
          <w:lang w:eastAsia="en-US"/>
        </w:rPr>
      </w:pPr>
      <w:r>
        <w:rPr>
          <w:rFonts w:ascii="Times New Roman" w:hAnsi="Times New Roman"/>
          <w:b/>
          <w:lang w:eastAsia="en-US"/>
        </w:rPr>
        <w:t>1. Нефинансовые активы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1.1. В учреждении устанавливаются следующие правила определения справедливой стоимости объектов бюджетного учета (нефинансовых активов и арендных платежей):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1.1.1 Справедливая стоимость определяется Комиссией по поступлению и выбытию активов методом рыночных цен.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1.1.2. Справедливая стоимость рассчитывается на основании следующих данных (по выбору Комиссии):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сведениях о ценах на аналогичные или схожие актив</w:t>
      </w:r>
      <w:r>
        <w:rPr>
          <w:rFonts w:ascii="Times New Roman" w:hAnsi="Times New Roman"/>
        </w:rPr>
        <w:t>ы, полученные в письменной форме от организаций изготовителей, балансодержателей;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сведений об уровне цен, имеющихся у органов государственной статистики;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экспертных заключений (при условии документального подтверждения квалификации экспертов) о стоимос</w:t>
      </w:r>
      <w:r>
        <w:rPr>
          <w:rFonts w:ascii="Times New Roman" w:hAnsi="Times New Roman"/>
        </w:rPr>
        <w:t>ти аналогичных или схожих объектов;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данных, полученных в сети Интернет (данных с официальных сайтов производителей аналогичных или схожих объектов и т.п.);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данных объявлений о продаже (сдаче в аренду) аналогичных или схожих объектов в СМИ, в сети Интер</w:t>
      </w:r>
      <w:r>
        <w:rPr>
          <w:rFonts w:ascii="Times New Roman" w:hAnsi="Times New Roman"/>
        </w:rPr>
        <w:t>нет и т.д.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1.1.3. При определении справедливой стоимости бывших в эксплуатации объектов могут использоваться данные о цене на новые аналогичные или схожие объекты с применением поправочных коэффициентов в зависимости от состояния оцениваемого имущества.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1.1.4. При определении справедливой стоимости объектов недвижимости по решению Комиссии может проводиться оценка с привлечением профессиональных оценщиков согласно Федеральному закону от 29.07.1998 N 135-ФЗ "Об оценочной деятельности в РФ".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1.1.5.Расчет с</w:t>
      </w:r>
      <w:r>
        <w:rPr>
          <w:rFonts w:ascii="Times New Roman" w:hAnsi="Times New Roman"/>
        </w:rPr>
        <w:t xml:space="preserve">праведливой стоимости подтверждается </w:t>
      </w:r>
      <w:r>
        <w:rPr>
          <w:rStyle w:val="afe"/>
          <w:rFonts w:ascii="Times New Roman" w:hAnsi="Times New Roman"/>
          <w:b w:val="0"/>
          <w:bCs w:val="0"/>
          <w:color w:val="000000"/>
        </w:rPr>
        <w:t>Протоколом заседания комиссии</w:t>
      </w:r>
      <w:r>
        <w:rPr>
          <w:rFonts w:ascii="Times New Roman" w:hAnsi="Times New Roman"/>
          <w:b/>
          <w:bCs/>
        </w:rPr>
        <w:t>.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  <w:szCs w:val="20"/>
        </w:rPr>
        <w:t xml:space="preserve">(Основание: </w:t>
      </w:r>
      <w:r>
        <w:rPr>
          <w:rStyle w:val="afd"/>
          <w:rFonts w:ascii="Times New Roman" w:hAnsi="Times New Roman"/>
          <w:color w:val="000000"/>
          <w:szCs w:val="20"/>
        </w:rPr>
        <w:t>п.п. 54</w:t>
      </w:r>
      <w:r>
        <w:rPr>
          <w:rFonts w:ascii="Times New Roman" w:hAnsi="Times New Roman"/>
          <w:szCs w:val="20"/>
        </w:rPr>
        <w:t xml:space="preserve">, </w:t>
      </w:r>
      <w:r>
        <w:rPr>
          <w:rStyle w:val="afd"/>
          <w:rFonts w:ascii="Times New Roman" w:hAnsi="Times New Roman"/>
          <w:color w:val="000000"/>
          <w:szCs w:val="20"/>
        </w:rPr>
        <w:t>59</w:t>
      </w:r>
      <w:r>
        <w:rPr>
          <w:rFonts w:ascii="Times New Roman" w:hAnsi="Times New Roman"/>
          <w:szCs w:val="20"/>
        </w:rPr>
        <w:t xml:space="preserve"> СГС "Концептуальные основы", </w:t>
      </w:r>
      <w:r>
        <w:rPr>
          <w:rStyle w:val="afd"/>
          <w:rFonts w:ascii="Times New Roman" w:hAnsi="Times New Roman"/>
          <w:color w:val="000000"/>
          <w:szCs w:val="20"/>
        </w:rPr>
        <w:t>п.п. 7</w:t>
      </w:r>
      <w:r>
        <w:rPr>
          <w:rFonts w:ascii="Times New Roman" w:hAnsi="Times New Roman"/>
          <w:szCs w:val="20"/>
        </w:rPr>
        <w:t xml:space="preserve">, </w:t>
      </w:r>
      <w:r>
        <w:rPr>
          <w:rStyle w:val="afd"/>
          <w:rFonts w:ascii="Times New Roman" w:hAnsi="Times New Roman"/>
          <w:color w:val="000000"/>
          <w:szCs w:val="20"/>
        </w:rPr>
        <w:t>22</w:t>
      </w:r>
      <w:r>
        <w:rPr>
          <w:rFonts w:ascii="Times New Roman" w:hAnsi="Times New Roman"/>
          <w:szCs w:val="20"/>
        </w:rPr>
        <w:t xml:space="preserve"> СГС "Основные </w:t>
      </w:r>
      <w:r>
        <w:rPr>
          <w:rFonts w:ascii="Times New Roman" w:hAnsi="Times New Roman"/>
          <w:szCs w:val="20"/>
        </w:rPr>
        <w:lastRenderedPageBreak/>
        <w:t xml:space="preserve">средства", </w:t>
      </w:r>
      <w:r>
        <w:rPr>
          <w:rStyle w:val="afd"/>
          <w:rFonts w:ascii="Times New Roman" w:hAnsi="Times New Roman"/>
          <w:color w:val="000000"/>
          <w:szCs w:val="20"/>
        </w:rPr>
        <w:t>п. 22</w:t>
      </w:r>
      <w:r>
        <w:rPr>
          <w:rFonts w:ascii="Times New Roman" w:hAnsi="Times New Roman"/>
          <w:szCs w:val="20"/>
        </w:rPr>
        <w:t xml:space="preserve">, </w:t>
      </w:r>
      <w:r>
        <w:rPr>
          <w:rStyle w:val="afd"/>
          <w:rFonts w:ascii="Times New Roman" w:hAnsi="Times New Roman"/>
          <w:color w:val="000000"/>
          <w:szCs w:val="20"/>
        </w:rPr>
        <w:t>абз. 2 п. 29</w:t>
      </w:r>
      <w:r>
        <w:rPr>
          <w:rFonts w:ascii="Times New Roman" w:hAnsi="Times New Roman"/>
          <w:szCs w:val="20"/>
        </w:rPr>
        <w:t xml:space="preserve"> СГС "Запасы", </w:t>
      </w:r>
      <w:r>
        <w:rPr>
          <w:rStyle w:val="afd"/>
          <w:rFonts w:ascii="Times New Roman" w:hAnsi="Times New Roman"/>
          <w:color w:val="000000"/>
          <w:szCs w:val="20"/>
        </w:rPr>
        <w:t>п.п. 25</w:t>
      </w:r>
      <w:r>
        <w:rPr>
          <w:rFonts w:ascii="Times New Roman" w:hAnsi="Times New Roman"/>
          <w:szCs w:val="20"/>
        </w:rPr>
        <w:t xml:space="preserve">, </w:t>
      </w:r>
      <w:r>
        <w:rPr>
          <w:rStyle w:val="afd"/>
          <w:rFonts w:ascii="Times New Roman" w:hAnsi="Times New Roman"/>
          <w:color w:val="000000"/>
          <w:szCs w:val="20"/>
        </w:rPr>
        <w:t>31</w:t>
      </w:r>
      <w:r>
        <w:rPr>
          <w:rFonts w:ascii="Times New Roman" w:hAnsi="Times New Roman"/>
          <w:szCs w:val="20"/>
        </w:rPr>
        <w:t xml:space="preserve"> Инструкции N 157н)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1.2. Начисление задолженности по </w:t>
      </w:r>
      <w:r>
        <w:rPr>
          <w:rFonts w:ascii="Times New Roman" w:hAnsi="Times New Roman"/>
        </w:rPr>
        <w:t>недостаче нефинансовых активов отражается в составе финансового результата (доходы от операций с активами) по справедливой стоимости на день обнаружения ущерба.</w:t>
      </w:r>
    </w:p>
    <w:p w:rsidR="00E244F7" w:rsidRDefault="001E26CD">
      <w:pPr>
        <w:pStyle w:val="aff"/>
        <w:ind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(Основание: </w:t>
      </w:r>
      <w:r>
        <w:rPr>
          <w:rStyle w:val="afd"/>
          <w:rFonts w:ascii="Times New Roman" w:hAnsi="Times New Roman"/>
          <w:color w:val="000000"/>
          <w:sz w:val="24"/>
        </w:rPr>
        <w:t>п. 47</w:t>
      </w:r>
      <w:r>
        <w:rPr>
          <w:rFonts w:ascii="Times New Roman" w:hAnsi="Times New Roman"/>
          <w:sz w:val="24"/>
        </w:rPr>
        <w:t xml:space="preserve"> СГС "Основные средства", </w:t>
      </w:r>
      <w:r>
        <w:rPr>
          <w:rStyle w:val="afd"/>
          <w:rFonts w:ascii="Times New Roman" w:hAnsi="Times New Roman"/>
          <w:color w:val="000000"/>
          <w:sz w:val="24"/>
        </w:rPr>
        <w:t>п. 38</w:t>
      </w:r>
      <w:r>
        <w:rPr>
          <w:rFonts w:ascii="Times New Roman" w:hAnsi="Times New Roman"/>
          <w:sz w:val="24"/>
        </w:rPr>
        <w:t xml:space="preserve"> СГС "Запасы")</w:t>
      </w:r>
    </w:p>
    <w:p w:rsidR="00E244F7" w:rsidRDefault="00E244F7">
      <w:pPr>
        <w:pStyle w:val="aff"/>
        <w:ind w:firstLine="0"/>
        <w:rPr>
          <w:rFonts w:ascii="Times New Roman" w:hAnsi="Times New Roman"/>
          <w:sz w:val="24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bookmarkStart w:id="1" w:name="sub_588675041"/>
      <w:r>
        <w:rPr>
          <w:rFonts w:ascii="Times New Roman" w:hAnsi="Times New Roman"/>
        </w:rPr>
        <w:t>1.3. При частичной ликвидации (</w:t>
      </w:r>
      <w:r>
        <w:rPr>
          <w:rFonts w:ascii="Times New Roman" w:hAnsi="Times New Roman"/>
        </w:rPr>
        <w:t>разукомплектации) объекта нефинансовых активов расчет стоимости ликвидируемых (выделяемых) частей осуществляется исходя из стоимости частей, указанных в Инвентарной карточке объекта. Если стоимость ликвидируемых (выделяемых) частей неизвестна, то:</w:t>
      </w:r>
    </w:p>
    <w:bookmarkEnd w:id="1"/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д</w:t>
      </w:r>
      <w:r>
        <w:rPr>
          <w:rFonts w:ascii="Times New Roman" w:hAnsi="Times New Roman"/>
        </w:rPr>
        <w:t>ля недвижимости она определяется пропорционально размеру площади выделяемой части (частей) в площади всего объекта;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для движимого имущества определяется справедливая стоимость всего объекта, справедливая стоимость ликвидируемых (выделяемых) частей. Затем</w:t>
      </w:r>
      <w:r>
        <w:rPr>
          <w:rFonts w:ascii="Times New Roman" w:hAnsi="Times New Roman"/>
        </w:rPr>
        <w:t xml:space="preserve"> определяется доля (процент) каждой из ликвидируемых (выделяемых) частей от справедливой стоимости объекта. Рассчитанный процент умножается на балансовую стоимость объекта.</w:t>
      </w:r>
    </w:p>
    <w:p w:rsidR="00E244F7" w:rsidRDefault="001E26CD">
      <w:pPr>
        <w:pStyle w:val="aff"/>
        <w:ind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(Основание: </w:t>
      </w:r>
      <w:r>
        <w:rPr>
          <w:rStyle w:val="afd"/>
          <w:rFonts w:ascii="Times New Roman" w:hAnsi="Times New Roman"/>
          <w:color w:val="000000"/>
          <w:sz w:val="24"/>
        </w:rPr>
        <w:t>п.п. 27</w:t>
      </w:r>
      <w:r>
        <w:rPr>
          <w:rFonts w:ascii="Times New Roman" w:hAnsi="Times New Roman"/>
          <w:sz w:val="24"/>
        </w:rPr>
        <w:t xml:space="preserve">, </w:t>
      </w:r>
      <w:r>
        <w:rPr>
          <w:rStyle w:val="afd"/>
          <w:rFonts w:ascii="Times New Roman" w:hAnsi="Times New Roman"/>
          <w:color w:val="000000"/>
          <w:sz w:val="24"/>
        </w:rPr>
        <w:t>85</w:t>
      </w:r>
      <w:r>
        <w:rPr>
          <w:rFonts w:ascii="Times New Roman" w:hAnsi="Times New Roman"/>
          <w:sz w:val="24"/>
        </w:rPr>
        <w:t xml:space="preserve"> Инструкции N 157н)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1.4. В случае поступления объектов нефи</w:t>
      </w:r>
      <w:r>
        <w:rPr>
          <w:rFonts w:ascii="Times New Roman" w:hAnsi="Times New Roman"/>
        </w:rPr>
        <w:t xml:space="preserve">нансовых активов от организаций бюджетной сферы, с которыми производится сверка взаимных расчетов для (свода) консолидации бюджетной (финансовой) отчетности, полученные объекты нефинансовых активов первоначально принимаются к учету в составе тех же </w:t>
      </w:r>
      <w:r>
        <w:rPr>
          <w:rStyle w:val="afd"/>
          <w:rFonts w:ascii="Times New Roman" w:hAnsi="Times New Roman"/>
          <w:color w:val="000000"/>
        </w:rPr>
        <w:t>групп</w:t>
      </w:r>
      <w:r>
        <w:rPr>
          <w:rFonts w:ascii="Times New Roman" w:hAnsi="Times New Roman"/>
        </w:rPr>
        <w:t xml:space="preserve"> и</w:t>
      </w:r>
      <w:r>
        <w:rPr>
          <w:rFonts w:ascii="Times New Roman" w:hAnsi="Times New Roman"/>
        </w:rPr>
        <w:t xml:space="preserve"> </w:t>
      </w:r>
      <w:r>
        <w:rPr>
          <w:rStyle w:val="afd"/>
          <w:rFonts w:ascii="Times New Roman" w:hAnsi="Times New Roman"/>
          <w:color w:val="000000"/>
        </w:rPr>
        <w:t>видов</w:t>
      </w:r>
      <w:r>
        <w:rPr>
          <w:rFonts w:ascii="Times New Roman" w:hAnsi="Times New Roman"/>
        </w:rPr>
        <w:t xml:space="preserve"> имущества, что и у передающей стороны. Впоследствии, если Комиссией по поступлению и выбытию активов на основании действующего законодательства и положений настоящей Учетной политики будет принято решение об иной классификации полученного имущества,</w:t>
      </w:r>
      <w:r>
        <w:rPr>
          <w:rFonts w:ascii="Times New Roman" w:hAnsi="Times New Roman"/>
        </w:rPr>
        <w:t xml:space="preserve"> то порядок учета может быть изменен.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1.5. По нефинансовым активам, полученным безвозмездно от казенных учреждений, Комиссией по поступлению и выбытию активов проверяется их соответствие критериям учета по группам и видам имущества на основании действующе</w:t>
      </w:r>
      <w:r>
        <w:rPr>
          <w:rFonts w:ascii="Times New Roman" w:hAnsi="Times New Roman"/>
        </w:rPr>
        <w:t>го законодательства и положений настоящей Учетной политики в момент постановки на балансовый учет. При выявленном несоответствии профильной Комиссией принимаются решения: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если по указанным основаниям полученные основные средства классифицируются как мате</w:t>
      </w:r>
      <w:r>
        <w:rPr>
          <w:rFonts w:ascii="Times New Roman" w:hAnsi="Times New Roman"/>
        </w:rPr>
        <w:t>риальные запасы, они должны быть учтены в качестве материальных запасов сразу же при принятии к балансовому учету на основании документов, подтверждающих поступление объекта;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если полученные материальные запасы классифицируются как основные средства, они</w:t>
      </w:r>
      <w:r>
        <w:rPr>
          <w:rFonts w:ascii="Times New Roman" w:hAnsi="Times New Roman"/>
        </w:rPr>
        <w:t xml:space="preserve"> должны быть учтены в качестве основных средств сразу же при принятии к балансовому учету;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если передающей организацией бюджетной сферы указан некорректный аналитический счет по передаваемому объекту нефинансовых активов, этот объект должен быть учтен на</w:t>
      </w:r>
      <w:r>
        <w:rPr>
          <w:rFonts w:ascii="Times New Roman" w:hAnsi="Times New Roman"/>
        </w:rPr>
        <w:t xml:space="preserve"> корректном аналитическом счете сразу же при принятии к балансовому учету.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1.6. По нефинансовым активам (основным средствам, нематериальным активам), полученным безвозмездно от организаций бюджетной сферы, Комиссией по поступлению и выбытию активов провер</w:t>
      </w:r>
      <w:r>
        <w:rPr>
          <w:rFonts w:ascii="Times New Roman" w:hAnsi="Times New Roman"/>
        </w:rPr>
        <w:t>яется соответствие ранее начисленной амортизации и оставшегося срока использования нефинансового актива. Если по оценке профильной Комиссии выявлен: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факт начисления амортизации с нарушением действующих норм (либо не начисление), то передающей стороне нап</w:t>
      </w:r>
      <w:r>
        <w:rPr>
          <w:rFonts w:ascii="Times New Roman" w:hAnsi="Times New Roman"/>
        </w:rPr>
        <w:t>равляется запрос на уточнение полученных учетных данных. Если в ответ начисленная ранее амортизация передающей стороной не будет скорректирована, то возможность перерасчета амортизации учреждением согласовывается</w:t>
      </w:r>
      <w:r>
        <w:rPr>
          <w:rStyle w:val="afe"/>
          <w:rFonts w:ascii="Times New Roman" w:hAnsi="Times New Roman"/>
          <w:b w:val="0"/>
          <w:bCs w:val="0"/>
          <w:color w:val="000000"/>
        </w:rPr>
        <w:t xml:space="preserve"> с главным распорядителем бюджетных средств</w:t>
      </w:r>
      <w:r>
        <w:rPr>
          <w:rFonts w:ascii="Times New Roman" w:hAnsi="Times New Roman"/>
        </w:rPr>
        <w:t>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- тот факт, что указанный оставшийся срок полезного использования нефинансового актива не соответствует нормам законодательства или срок полезного использования истек, то решением профильной Комиссии устанавливается ожидаемый срок использования нефинансов</w:t>
      </w:r>
      <w:r>
        <w:rPr>
          <w:rFonts w:ascii="Times New Roman" w:hAnsi="Times New Roman"/>
        </w:rPr>
        <w:t>ого актива с учетом его фактического состояния. При этом дальнейшее начисление амортизации осуществляется исходя из этого установленного срока.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1.7. По нефинансовым активам, полученным безвозмездно (за исключением получения от организаций бюджетной сферы)</w:t>
      </w:r>
      <w:r>
        <w:rPr>
          <w:rFonts w:ascii="Times New Roman" w:hAnsi="Times New Roman"/>
        </w:rPr>
        <w:t>, Комиссией по поступлению и выбытию активов устанавливает срок полезного использования: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с учетом информации, предоставленной контрагентом о сроке фактической эксплуатации передаваемого нефинансового актива;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с учетом ожидаемого срока использования нефи</w:t>
      </w:r>
      <w:r>
        <w:rPr>
          <w:rFonts w:ascii="Times New Roman" w:hAnsi="Times New Roman"/>
        </w:rPr>
        <w:t>нансового актива в учреждении и выявленного физического износа объекта.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Начисление амортизации осуществляется исходя из определенной профильной Комиссией справедливой стоимости нефинансового актива и установленного срока полезного использования.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1.83 По з</w:t>
      </w:r>
      <w:r>
        <w:rPr>
          <w:rFonts w:ascii="Times New Roman" w:hAnsi="Times New Roman"/>
        </w:rPr>
        <w:t>емельным участкам, впервые вовлекаемым в хозяйственный оборот, не внесенных в государственный кадастр недвижимости, на которые государственная собственность как разграничена, так и не разграничена, закрепленным, а также не закрепленным на праве постоянного</w:t>
      </w:r>
      <w:r>
        <w:rPr>
          <w:rFonts w:ascii="Times New Roman" w:hAnsi="Times New Roman"/>
        </w:rPr>
        <w:t xml:space="preserve"> (бессрочного) пользования за учреждением, первоначальная стоимость определяется так: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t>- на основе кадастровой стоимости аналогичного земельного участка, внесенного в государственный кадастр недвижимости</w:t>
      </w:r>
      <w:r>
        <w:rPr>
          <w:rFonts w:ascii="Times New Roman" w:hAnsi="Times New Roman"/>
          <w:b/>
          <w:bCs/>
        </w:rPr>
        <w:t>.</w:t>
      </w:r>
    </w:p>
    <w:p w:rsidR="00E244F7" w:rsidRDefault="001E26CD">
      <w:pPr>
        <w:pStyle w:val="aff"/>
        <w:ind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(Основание: </w:t>
      </w:r>
      <w:r>
        <w:rPr>
          <w:rStyle w:val="afd"/>
          <w:rFonts w:ascii="Times New Roman" w:hAnsi="Times New Roman"/>
          <w:color w:val="000000"/>
          <w:sz w:val="24"/>
        </w:rPr>
        <w:t>пп. б) п. 17</w:t>
      </w:r>
      <w:r>
        <w:rPr>
          <w:rFonts w:ascii="Times New Roman" w:hAnsi="Times New Roman"/>
          <w:sz w:val="24"/>
        </w:rPr>
        <w:t xml:space="preserve"> СГС "Непроизведенные активы</w:t>
      </w:r>
      <w:r>
        <w:rPr>
          <w:rFonts w:ascii="Times New Roman" w:hAnsi="Times New Roman"/>
          <w:sz w:val="24"/>
        </w:rPr>
        <w:t>")</w:t>
      </w:r>
    </w:p>
    <w:p w:rsidR="00E244F7" w:rsidRDefault="00E244F7">
      <w:pPr>
        <w:ind w:firstLine="0"/>
        <w:rPr>
          <w:rFonts w:ascii="Times New Roman" w:hAnsi="Times New Roman"/>
        </w:rPr>
      </w:pPr>
      <w:bookmarkStart w:id="2" w:name="sub_588675234"/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1.9. Сверка кадастровой стоимости земельного участка с актуальной выпиской из ЕГРН для отражения в годовой бюджетной отчетности производится:</w:t>
      </w:r>
      <w:bookmarkEnd w:id="2"/>
    </w:p>
    <w:p w:rsidR="00E244F7" w:rsidRDefault="001E26CD">
      <w:pPr>
        <w:ind w:firstLine="0"/>
        <w:rPr>
          <w:rStyle w:val="afe"/>
          <w:rFonts w:ascii="Times New Roman" w:hAnsi="Times New Roman"/>
          <w:b w:val="0"/>
        </w:rPr>
      </w:pPr>
      <w:r>
        <w:rPr>
          <w:rStyle w:val="afe"/>
          <w:rFonts w:ascii="Times New Roman" w:hAnsi="Times New Roman"/>
        </w:rPr>
        <w:t>- </w:t>
      </w:r>
      <w:r>
        <w:rPr>
          <w:rStyle w:val="afe"/>
          <w:rFonts w:ascii="Times New Roman" w:hAnsi="Times New Roman"/>
          <w:b w:val="0"/>
          <w:bCs w:val="0"/>
        </w:rPr>
        <w:t xml:space="preserve"> 30 рабочих дня до даты представления отчетности, установленной субъектом консолидации.</w:t>
      </w:r>
    </w:p>
    <w:p w:rsidR="00E244F7" w:rsidRDefault="00E244F7">
      <w:pPr>
        <w:ind w:firstLine="0"/>
        <w:rPr>
          <w:rFonts w:ascii="Times New Roman" w:hAnsi="Times New Roman"/>
          <w:b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1.10. При создании основного средства хозяйственным способом выполненные строительно-монтажные работы принимаются к учету на счет 106 Х1 на основании: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Style w:val="afe"/>
          <w:rFonts w:ascii="Times New Roman" w:hAnsi="Times New Roman"/>
          <w:b w:val="0"/>
          <w:bCs w:val="0"/>
        </w:rPr>
        <w:t>- Акта о приемке выполненных работ (ф. N КС-2). При этом в графе "наименование работ"</w:t>
      </w:r>
      <w:r>
        <w:rPr>
          <w:rStyle w:val="afe"/>
          <w:rFonts w:ascii="Times New Roman" w:hAnsi="Times New Roman"/>
          <w:b w:val="0"/>
          <w:bCs w:val="0"/>
        </w:rPr>
        <w:t xml:space="preserve"> отражаются статьи затрат на создание основного средства.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1.11. Списанные с баланса объекты нефинансовых активов не признаются объектами учета на забалансовом счете 02 при условии, что мероприятия по их утилизации завершены в день принятия решения об их с</w:t>
      </w:r>
      <w:r>
        <w:rPr>
          <w:rFonts w:ascii="Times New Roman" w:hAnsi="Times New Roman"/>
        </w:rPr>
        <w:t>писании.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</w:pPr>
      <w:r>
        <w:rPr>
          <w:rFonts w:ascii="Times New Roman" w:hAnsi="Times New Roman"/>
        </w:rPr>
        <w:t>1.12. При изъятии нефинансового актива в качестве вещественного доказательства отражается внутреннее перемещение объекта на счетах бухгалтерского учета с указанием в качестве ответственного лица наименования уполномоченного органа власти, соверши</w:t>
      </w:r>
      <w:r>
        <w:rPr>
          <w:rFonts w:ascii="Times New Roman" w:hAnsi="Times New Roman"/>
        </w:rPr>
        <w:t>вшего изъятие.</w:t>
      </w:r>
    </w:p>
    <w:p w:rsidR="00E244F7" w:rsidRDefault="00E244F7">
      <w:pPr>
        <w:contextualSpacing/>
        <w:rPr>
          <w:rFonts w:ascii="Times New Roman" w:hAnsi="Times New Roman"/>
          <w:lang w:eastAsia="en-US"/>
        </w:rPr>
      </w:pPr>
    </w:p>
    <w:p w:rsidR="00E244F7" w:rsidRDefault="001E26CD">
      <w:pPr>
        <w:contextualSpacing/>
        <w:rPr>
          <w:rFonts w:ascii="Times New Roman" w:hAnsi="Times New Roman"/>
          <w:b/>
          <w:lang w:eastAsia="en-US"/>
        </w:rPr>
      </w:pPr>
      <w:r>
        <w:rPr>
          <w:rFonts w:ascii="Times New Roman" w:hAnsi="Times New Roman"/>
          <w:b/>
          <w:lang w:eastAsia="en-US"/>
        </w:rPr>
        <w:t xml:space="preserve"> 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b/>
          <w:lang w:eastAsia="en-US"/>
        </w:rPr>
        <w:t>2. Основные средства</w:t>
      </w:r>
    </w:p>
    <w:p w:rsidR="00E244F7" w:rsidRDefault="001E26CD">
      <w:pPr>
        <w:contextualSpacing/>
        <w:rPr>
          <w:rFonts w:ascii="Times New Roman" w:hAnsi="Times New Roman"/>
          <w:b/>
          <w:lang w:eastAsia="en-US"/>
        </w:rPr>
      </w:pPr>
      <w:r>
        <w:rPr>
          <w:rFonts w:ascii="Times New Roman" w:hAnsi="Times New Roman"/>
          <w:b/>
          <w:lang w:eastAsia="en-US"/>
        </w:rPr>
        <w:t xml:space="preserve"> </w:t>
      </w:r>
    </w:p>
    <w:p w:rsidR="00E244F7" w:rsidRDefault="001E26CD">
      <w:pPr>
        <w:ind w:firstLine="0"/>
        <w:rPr>
          <w:rFonts w:ascii="Times New Roman" w:hAnsi="Times New Roman"/>
          <w:b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t>2.1. Порядок принятия объектов основных средств к учету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2.1.1. При принятии к учету объектов основных средств комиссией по поступлению и выбытию активов проверяется наличие сопроводительных документов и технической</w:t>
      </w:r>
      <w:r>
        <w:rPr>
          <w:rFonts w:ascii="Times New Roman" w:hAnsi="Times New Roman"/>
        </w:rPr>
        <w:t xml:space="preserve"> документации, а также проводится инвентаризация приспособлений, принадлежностей, </w:t>
      </w:r>
      <w:r>
        <w:rPr>
          <w:rFonts w:ascii="Times New Roman" w:hAnsi="Times New Roman"/>
        </w:rPr>
        <w:lastRenderedPageBreak/>
        <w:t>составных частей основного средства в соответствии данными указанных документов.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2.1.2. Инвентарный номер, присвоенный объекту основных средств, сохраняется за ним на весь п</w:t>
      </w:r>
      <w:r>
        <w:rPr>
          <w:rFonts w:ascii="Times New Roman" w:hAnsi="Times New Roman"/>
        </w:rPr>
        <w:t>ериод нахождения в организации. Изменение порядка формирования инвентарных номеров в организации не является основанием для присвоения основным средствам, принятым к учету в прошлые годы, инвентарных номеров в соответствии с новым порядком. При получении о</w:t>
      </w:r>
      <w:r>
        <w:rPr>
          <w:rFonts w:ascii="Times New Roman" w:hAnsi="Times New Roman"/>
        </w:rPr>
        <w:t xml:space="preserve">сновных средств, эксплуатировавшихся в иных организациях, инвентарные номера, присвоенные прежними балансодержателями, не сохраняются. Инвентарные номера выбывших с балансового учета инвентарных объектов основных средств вновь принятым к учету объектам не </w:t>
      </w:r>
      <w:r>
        <w:rPr>
          <w:rFonts w:ascii="Times New Roman" w:hAnsi="Times New Roman"/>
        </w:rPr>
        <w:t>присваиваются.</w:t>
      </w:r>
    </w:p>
    <w:p w:rsidR="00E244F7" w:rsidRDefault="001E26CD">
      <w:pPr>
        <w:pStyle w:val="aff"/>
        <w:ind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(Основание: </w:t>
      </w:r>
      <w:r>
        <w:rPr>
          <w:rStyle w:val="afd"/>
          <w:rFonts w:ascii="Times New Roman" w:hAnsi="Times New Roman"/>
          <w:color w:val="000000"/>
          <w:sz w:val="24"/>
        </w:rPr>
        <w:t>п. 9</w:t>
      </w:r>
      <w:r>
        <w:rPr>
          <w:rFonts w:ascii="Times New Roman" w:hAnsi="Times New Roman"/>
          <w:sz w:val="24"/>
        </w:rPr>
        <w:t xml:space="preserve"> СГС "Основные средства", </w:t>
      </w:r>
      <w:r>
        <w:rPr>
          <w:rStyle w:val="afd"/>
          <w:rFonts w:ascii="Times New Roman" w:hAnsi="Times New Roman"/>
          <w:color w:val="000000"/>
          <w:sz w:val="24"/>
        </w:rPr>
        <w:t>п.п. 46</w:t>
      </w:r>
      <w:r>
        <w:rPr>
          <w:rFonts w:ascii="Times New Roman" w:hAnsi="Times New Roman"/>
          <w:sz w:val="24"/>
        </w:rPr>
        <w:t xml:space="preserve">, </w:t>
      </w:r>
      <w:r>
        <w:rPr>
          <w:rStyle w:val="afd"/>
          <w:rFonts w:ascii="Times New Roman" w:hAnsi="Times New Roman"/>
          <w:color w:val="000000"/>
          <w:sz w:val="24"/>
        </w:rPr>
        <w:t xml:space="preserve">47 </w:t>
      </w:r>
      <w:r>
        <w:rPr>
          <w:rFonts w:ascii="Times New Roman" w:hAnsi="Times New Roman"/>
          <w:sz w:val="24"/>
        </w:rPr>
        <w:t>Инструкции N 157н)</w:t>
      </w:r>
    </w:p>
    <w:p w:rsidR="00E244F7" w:rsidRDefault="00E244F7">
      <w:pPr>
        <w:ind w:firstLine="0"/>
        <w:rPr>
          <w:rFonts w:ascii="Times New Roman" w:hAnsi="Times New Roman"/>
        </w:rPr>
      </w:pPr>
      <w:bookmarkStart w:id="3" w:name="sub_1001"/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2.1.3. Инвентарный номер основного средства состоит из 12 знаков и формируется по следующим правилам:</w:t>
      </w:r>
      <w:bookmarkEnd w:id="3"/>
    </w:p>
    <w:p w:rsidR="00E244F7" w:rsidRDefault="001E26CD">
      <w:pPr>
        <w:ind w:firstLine="0"/>
        <w:rPr>
          <w:rFonts w:ascii="Times New Roman" w:hAnsi="Times New Roman"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t>- инвентарный номер представляет собой порядковый номер основного</w:t>
      </w:r>
      <w:r>
        <w:rPr>
          <w:rStyle w:val="afe"/>
          <w:rFonts w:ascii="Times New Roman" w:hAnsi="Times New Roman"/>
          <w:b w:val="0"/>
          <w:bCs w:val="0"/>
          <w:color w:val="000000"/>
        </w:rPr>
        <w:t xml:space="preserve"> средства в рамках учреждения, перед порядковым номером проставляется необходимое количество нулей для получения установленного общего количества знаков.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Для формирования инвентарного номера неотделимых улучшений в объект операционной аренды используются р</w:t>
      </w:r>
      <w:r>
        <w:rPr>
          <w:rFonts w:ascii="Times New Roman" w:hAnsi="Times New Roman"/>
        </w:rPr>
        <w:t>еквизиты (номер и дата) договора аренды с целью идентификации каждого инвентарного объекта с соответствующим правом пользования активом.</w:t>
      </w:r>
    </w:p>
    <w:p w:rsidR="00E244F7" w:rsidRDefault="001E26CD">
      <w:pPr>
        <w:pStyle w:val="aff"/>
        <w:ind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(Основание: </w:t>
      </w:r>
      <w:r>
        <w:rPr>
          <w:rStyle w:val="afd"/>
          <w:rFonts w:ascii="Times New Roman" w:hAnsi="Times New Roman"/>
          <w:color w:val="000000"/>
          <w:sz w:val="24"/>
        </w:rPr>
        <w:t>п. 9</w:t>
      </w:r>
      <w:r>
        <w:rPr>
          <w:rFonts w:ascii="Times New Roman" w:hAnsi="Times New Roman"/>
          <w:sz w:val="24"/>
        </w:rPr>
        <w:t xml:space="preserve"> СГС "Основные средства", </w:t>
      </w:r>
      <w:r>
        <w:rPr>
          <w:rStyle w:val="afd"/>
          <w:rFonts w:ascii="Times New Roman" w:hAnsi="Times New Roman"/>
          <w:color w:val="000000"/>
          <w:sz w:val="24"/>
        </w:rPr>
        <w:t>п.п. 46</w:t>
      </w:r>
      <w:r>
        <w:rPr>
          <w:rFonts w:ascii="Times New Roman" w:hAnsi="Times New Roman"/>
          <w:sz w:val="24"/>
        </w:rPr>
        <w:t xml:space="preserve">, </w:t>
      </w:r>
      <w:r>
        <w:rPr>
          <w:rStyle w:val="afd"/>
          <w:rFonts w:ascii="Times New Roman" w:hAnsi="Times New Roman"/>
          <w:color w:val="000000"/>
          <w:sz w:val="24"/>
        </w:rPr>
        <w:t>47</w:t>
      </w:r>
      <w:r>
        <w:rPr>
          <w:rFonts w:ascii="Times New Roman" w:hAnsi="Times New Roman"/>
          <w:sz w:val="24"/>
        </w:rPr>
        <w:t xml:space="preserve">, </w:t>
      </w:r>
      <w:r>
        <w:rPr>
          <w:rStyle w:val="afd"/>
          <w:rFonts w:ascii="Times New Roman" w:hAnsi="Times New Roman"/>
          <w:color w:val="000000"/>
          <w:sz w:val="24"/>
        </w:rPr>
        <w:t>49</w:t>
      </w:r>
      <w:r>
        <w:rPr>
          <w:rFonts w:ascii="Times New Roman" w:hAnsi="Times New Roman"/>
          <w:sz w:val="24"/>
        </w:rPr>
        <w:t xml:space="preserve"> Инструкции N 157н).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2.1.4. Наименование основного средства в</w:t>
      </w:r>
      <w:r>
        <w:rPr>
          <w:rFonts w:ascii="Times New Roman" w:hAnsi="Times New Roman"/>
        </w:rPr>
        <w:t xml:space="preserve"> документах, оформляемых в организации, приводится на русском языке. Основные средства, подлежащие государственной регистрации (в том числе объекты недвижимости, транспортные средства), отражаются в учете в соответствии с наименованиями, указанными в соотв</w:t>
      </w:r>
      <w:r>
        <w:rPr>
          <w:rFonts w:ascii="Times New Roman" w:hAnsi="Times New Roman"/>
        </w:rPr>
        <w:t>етствующих регистрационных документах. Объекты вычислительной техники, оргтехники, бытовой техники, приборы, инструменты, производственное оборудование отражаются в учете по следующим правилам: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наименование объекта в учете состоит из наименования вида объекта и наименования марки (модели);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наименование вида объекта указывается полностью без сокращений на русском языке в соответствии с документами производителя (в соответствии с техническим па</w:t>
      </w:r>
      <w:r>
        <w:rPr>
          <w:rFonts w:ascii="Times New Roman" w:hAnsi="Times New Roman"/>
        </w:rPr>
        <w:t>спортом);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наименование марки (модели) указывается в соответствии с документами производителя (в соответствии с техническим паспортом) на соответствующем языке;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 в </w:t>
      </w:r>
      <w:r>
        <w:rPr>
          <w:rStyle w:val="afd"/>
          <w:rFonts w:ascii="Times New Roman" w:hAnsi="Times New Roman"/>
          <w:color w:val="000000"/>
        </w:rPr>
        <w:t>Инвентарной карточке</w:t>
      </w:r>
      <w:r>
        <w:rPr>
          <w:rFonts w:ascii="Times New Roman" w:hAnsi="Times New Roman"/>
        </w:rPr>
        <w:t xml:space="preserve"> отражается полный состав объекта, серийный (заводской) номер объекта </w:t>
      </w:r>
      <w:r>
        <w:rPr>
          <w:rFonts w:ascii="Times New Roman" w:hAnsi="Times New Roman"/>
        </w:rPr>
        <w:t>и всех его частей, имеющих индивидуальные заводские (серийные) номера, если иное не предусмотрено положениями данной учетной политики.</w:t>
      </w:r>
    </w:p>
    <w:p w:rsidR="00E244F7" w:rsidRDefault="00E244F7">
      <w:pPr>
        <w:ind w:firstLine="0"/>
        <w:rPr>
          <w:rFonts w:ascii="Times New Roman" w:hAnsi="Times New Roman"/>
        </w:rPr>
      </w:pPr>
      <w:bookmarkStart w:id="4" w:name="sub_316"/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2.1.5. Документы, подтверждающие факт государственной регистрации зданий, сооружений, автотранспортных средств, самоходн</w:t>
      </w:r>
      <w:r>
        <w:rPr>
          <w:rFonts w:ascii="Times New Roman" w:hAnsi="Times New Roman"/>
        </w:rPr>
        <w:t>ой техники, плавсредств, подлежат хранению в Администрации Элисенваарского сельского поселения, ответственные за сохранность документов - Глава поселения. Техническая документация (технические паспорта) на здания, сооружения, транспортные средства, оргтехн</w:t>
      </w:r>
      <w:r>
        <w:rPr>
          <w:rFonts w:ascii="Times New Roman" w:hAnsi="Times New Roman"/>
        </w:rPr>
        <w:t>ику, вычислительную технику, промышленное оборудование, сложнобытовые приборы и иные объекты основных средств подлежат хранению в структурных подразделениях должностными лицами, закрепление объектов основных средств за которыми осуществлено на основании ра</w:t>
      </w:r>
      <w:r>
        <w:rPr>
          <w:rFonts w:ascii="Times New Roman" w:hAnsi="Times New Roman"/>
        </w:rPr>
        <w:t>споряжений (приказов) руководителя организации (его заместителей).</w:t>
      </w:r>
    </w:p>
    <w:bookmarkEnd w:id="4"/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Обязательному хранению в составе технической документации так</w:t>
      </w:r>
      <w:r>
        <w:rPr>
          <w:rFonts w:ascii="Times New Roman" w:hAnsi="Times New Roman"/>
        </w:rPr>
        <w:t>же подлежат документы (лицензии), подтверждающие наличие неисключительных (пользовательских, лицензионных) прав на программное обеспечение, установленное на объекты основных средств.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По объектам основных средств, для которых производителем и (или) поставщи</w:t>
      </w:r>
      <w:r>
        <w:rPr>
          <w:rFonts w:ascii="Times New Roman" w:hAnsi="Times New Roman"/>
        </w:rPr>
        <w:t xml:space="preserve">ком предусмотрен гарантийный срок эксплуатации, подлежат сохранению гарантийные </w:t>
      </w:r>
      <w:r>
        <w:rPr>
          <w:rFonts w:ascii="Times New Roman" w:hAnsi="Times New Roman"/>
        </w:rPr>
        <w:lastRenderedPageBreak/>
        <w:t>талоны, которые хранятся вместе с технической документацией. В Инвентарной карточке отражается срок действия гарантии производителя (поставщика). В случае осуществления ремонта</w:t>
      </w:r>
      <w:r>
        <w:rPr>
          <w:rFonts w:ascii="Times New Roman" w:hAnsi="Times New Roman"/>
        </w:rPr>
        <w:t xml:space="preserve"> в Инвентарной карточке отражается срок гарантии на ремонт.</w:t>
      </w:r>
    </w:p>
    <w:p w:rsidR="00E244F7" w:rsidRDefault="00E244F7">
      <w:pPr>
        <w:ind w:firstLine="0"/>
        <w:rPr>
          <w:rFonts w:ascii="Times New Roman" w:hAnsi="Times New Roman"/>
        </w:rPr>
      </w:pPr>
      <w:bookmarkStart w:id="5" w:name="sub_3111"/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2.1.6. Устанавливается следующий порядок объединения однородных объектов основных в один инвентарный объект, признаваемый для целей бухгалтерского учета комплексом объектов основных средств:</w:t>
      </w:r>
    </w:p>
    <w:bookmarkEnd w:id="5"/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од</w:t>
      </w:r>
      <w:r>
        <w:rPr>
          <w:rFonts w:ascii="Times New Roman" w:hAnsi="Times New Roman"/>
        </w:rPr>
        <w:t>нородными объектами признаются объекты</w:t>
      </w:r>
      <w:r>
        <w:rPr>
          <w:rStyle w:val="afe"/>
          <w:rFonts w:ascii="Times New Roman" w:hAnsi="Times New Roman"/>
          <w:color w:val="000000"/>
        </w:rPr>
        <w:t xml:space="preserve"> </w:t>
      </w:r>
      <w:r>
        <w:rPr>
          <w:rStyle w:val="afe"/>
          <w:rFonts w:ascii="Times New Roman" w:hAnsi="Times New Roman"/>
          <w:b w:val="0"/>
          <w:bCs w:val="0"/>
          <w:color w:val="000000"/>
        </w:rPr>
        <w:t>с одинаковым характеристиками, назначением, датой приобретения, принятия к учету и ввода в эксплуатацию, полученные от одного поставщика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</w:rPr>
        <w:t>при условии, что их первоначальная стоимость не является существенной и срок пол</w:t>
      </w:r>
      <w:r>
        <w:rPr>
          <w:rFonts w:ascii="Times New Roman" w:hAnsi="Times New Roman"/>
        </w:rPr>
        <w:t>езного использования одинаков;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несущественной считается стоимость, не превышающая</w:t>
      </w:r>
      <w:r>
        <w:rPr>
          <w:rStyle w:val="afe"/>
          <w:rFonts w:ascii="Times New Roman" w:hAnsi="Times New Roman"/>
          <w:color w:val="000000"/>
        </w:rPr>
        <w:t xml:space="preserve"> </w:t>
      </w:r>
      <w:r>
        <w:rPr>
          <w:rStyle w:val="afe"/>
          <w:rFonts w:ascii="Times New Roman" w:hAnsi="Times New Roman"/>
          <w:b w:val="0"/>
          <w:bCs w:val="0"/>
          <w:color w:val="000000"/>
        </w:rPr>
        <w:t>10 000</w:t>
      </w:r>
      <w:r>
        <w:rPr>
          <w:rFonts w:ascii="Times New Roman" w:hAnsi="Times New Roman"/>
        </w:rPr>
        <w:t xml:space="preserve"> рублей за один имущественный объект.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В виде комплекса объектов основных средств в учреждении учитываются: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t>- компьютерное оборудование и периферийные устройства,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t>- ви</w:t>
      </w:r>
      <w:r>
        <w:rPr>
          <w:rStyle w:val="afe"/>
          <w:rFonts w:ascii="Times New Roman" w:hAnsi="Times New Roman"/>
          <w:b w:val="0"/>
          <w:bCs w:val="0"/>
          <w:color w:val="000000"/>
        </w:rPr>
        <w:t>д мебели, используемый в течение одного и того же периода времени (например, все столы, купленные в течении одного месяца);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t>- мебель, используемая для обстановки одного помещения.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Перечень предметов, включаемых в комплекс объектов основных средств, определ</w:t>
      </w:r>
      <w:r>
        <w:rPr>
          <w:rFonts w:ascii="Times New Roman" w:hAnsi="Times New Roman"/>
        </w:rPr>
        <w:t>яет Комиссия учреждения по поступлению и выбытию активов.</w:t>
      </w:r>
    </w:p>
    <w:p w:rsidR="00E244F7" w:rsidRDefault="001E26CD">
      <w:pPr>
        <w:pStyle w:val="aff"/>
        <w:ind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(Основание: </w:t>
      </w:r>
      <w:r>
        <w:rPr>
          <w:rStyle w:val="afd"/>
          <w:rFonts w:ascii="Times New Roman" w:hAnsi="Times New Roman"/>
          <w:color w:val="000000"/>
          <w:sz w:val="24"/>
        </w:rPr>
        <w:t>п. 10</w:t>
      </w:r>
      <w:r>
        <w:rPr>
          <w:rFonts w:ascii="Times New Roman" w:hAnsi="Times New Roman"/>
          <w:sz w:val="24"/>
        </w:rPr>
        <w:t xml:space="preserve"> СГС "Основные средства")</w:t>
      </w:r>
    </w:p>
    <w:p w:rsidR="00E244F7" w:rsidRDefault="00E244F7">
      <w:pPr>
        <w:ind w:firstLine="0"/>
        <w:rPr>
          <w:rFonts w:ascii="Times New Roman" w:hAnsi="Times New Roman"/>
        </w:rPr>
      </w:pPr>
      <w:bookmarkStart w:id="6" w:name="sub_588675030"/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2.1.7. Устанавливается следующий порядок признания самостоятельным инвентарным объектом структурной части основного средства:</w:t>
      </w:r>
    </w:p>
    <w:bookmarkEnd w:id="6"/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срок полезного использован</w:t>
      </w:r>
      <w:r>
        <w:rPr>
          <w:rFonts w:ascii="Times New Roman" w:hAnsi="Times New Roman"/>
        </w:rPr>
        <w:t>ия структурной части существенно отличается от сроков полезного использования других частей;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сроки полезного использования считаются существенно отличающимися, если они</w:t>
      </w:r>
      <w:r>
        <w:rPr>
          <w:rStyle w:val="afe"/>
          <w:rFonts w:ascii="Times New Roman" w:hAnsi="Times New Roman"/>
          <w:color w:val="FF0000"/>
        </w:rPr>
        <w:t xml:space="preserve"> </w:t>
      </w:r>
      <w:r>
        <w:rPr>
          <w:rStyle w:val="afe"/>
          <w:rFonts w:ascii="Times New Roman" w:hAnsi="Times New Roman"/>
          <w:b w:val="0"/>
          <w:bCs w:val="0"/>
          <w:color w:val="000000"/>
        </w:rPr>
        <w:t>относятся к разным амортизационным группам, определенным в Постановлении Правительств</w:t>
      </w:r>
      <w:r>
        <w:rPr>
          <w:rStyle w:val="afe"/>
          <w:rFonts w:ascii="Times New Roman" w:hAnsi="Times New Roman"/>
          <w:b w:val="0"/>
          <w:bCs w:val="0"/>
          <w:color w:val="000000"/>
        </w:rPr>
        <w:t>а РФ от 01.01.2002 года N 1</w:t>
      </w:r>
      <w:r>
        <w:rPr>
          <w:rFonts w:ascii="Times New Roman" w:hAnsi="Times New Roman"/>
          <w:b/>
          <w:bCs/>
        </w:rPr>
        <w:t>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стоимость структурной части объекта основных средств составляет не менее</w:t>
      </w:r>
      <w:r>
        <w:rPr>
          <w:rStyle w:val="afe"/>
          <w:rFonts w:ascii="Times New Roman" w:hAnsi="Times New Roman"/>
          <w:b w:val="0"/>
          <w:bCs w:val="0"/>
          <w:color w:val="000000"/>
        </w:rPr>
        <w:t xml:space="preserve"> 20</w:t>
      </w:r>
      <w:r>
        <w:rPr>
          <w:rFonts w:ascii="Times New Roman" w:hAnsi="Times New Roman"/>
        </w:rPr>
        <w:t xml:space="preserve"> % его общей стоимости.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Решение об учете структурной части в качестве единицы учета принимает Комиссия учреждения по поступлению и выбытию активов.</w:t>
      </w:r>
    </w:p>
    <w:p w:rsidR="00E244F7" w:rsidRDefault="001E26CD">
      <w:pPr>
        <w:pStyle w:val="aff"/>
        <w:ind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(Основание: </w:t>
      </w:r>
      <w:r>
        <w:rPr>
          <w:rStyle w:val="afd"/>
          <w:rFonts w:ascii="Times New Roman" w:hAnsi="Times New Roman"/>
          <w:color w:val="000000"/>
          <w:sz w:val="24"/>
        </w:rPr>
        <w:t>п. 10</w:t>
      </w:r>
      <w:r>
        <w:rPr>
          <w:rFonts w:ascii="Times New Roman" w:hAnsi="Times New Roman"/>
          <w:sz w:val="24"/>
        </w:rPr>
        <w:t xml:space="preserve"> СГС "Основные средства").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2.1.8. Срок полезного использования основных средств, включенных в десятую амортизационную группу, определяется: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 комиссией учреждения по поступлению и выбытию активов. При этом используется техническая докумен</w:t>
      </w:r>
      <w:r>
        <w:rPr>
          <w:rFonts w:ascii="Times New Roman" w:hAnsi="Times New Roman"/>
        </w:rPr>
        <w:t>тация, паспорта объектов, СНиПы.</w:t>
      </w:r>
    </w:p>
    <w:p w:rsidR="00E244F7" w:rsidRDefault="00E244F7">
      <w:pPr>
        <w:ind w:firstLine="0"/>
        <w:rPr>
          <w:rFonts w:ascii="Times New Roman" w:hAnsi="Times New Roman"/>
          <w:color w:val="000000"/>
        </w:rPr>
      </w:pPr>
      <w:bookmarkStart w:id="7" w:name="sub_22"/>
    </w:p>
    <w:p w:rsidR="00E244F7" w:rsidRDefault="001E26CD">
      <w:pPr>
        <w:ind w:firstLine="0"/>
        <w:rPr>
          <w:rFonts w:ascii="Times New Roman" w:hAnsi="Times New Roman"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t>2.2. Порядок учета при проведении ремонта, обслуживания, реконструкции, модернизации, дооборудования, монтажа объектов основных средств</w:t>
      </w:r>
    </w:p>
    <w:bookmarkEnd w:id="7"/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2.2.1. В качестве ремонта квалифицируются работы, направленные на восстановление поль</w:t>
      </w:r>
      <w:r>
        <w:rPr>
          <w:rFonts w:ascii="Times New Roman" w:hAnsi="Times New Roman"/>
        </w:rPr>
        <w:t>зовательских характеристик основных средств, - устранение неисправностей (восстановление работоспособности) объектов. В результате ремонта технические характеристики объекта основных средств могут быть улучшены.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Под обслуживанием основных средств понимаютс</w:t>
      </w:r>
      <w:r>
        <w:rPr>
          <w:rFonts w:ascii="Times New Roman" w:hAnsi="Times New Roman"/>
        </w:rPr>
        <w:t>я работы, направленные на поддержание пользовательских характеристик основных средств на изначально предусмотренном уровне (срок полезного использования, мощность, качество применения, количество и площадь объектов, пропускная способность и тому подобное).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Затраты на ремонт и обслуживание не увеличивают балансовую стоимость основных средств, а списываются на текущие расходы, если иное не установлено п.п. 4.2.2-4.2.3 настоящей Учетной политики.</w:t>
      </w:r>
    </w:p>
    <w:p w:rsidR="00E244F7" w:rsidRDefault="001E26CD">
      <w:pPr>
        <w:pStyle w:val="aff"/>
        <w:ind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(Основание: </w:t>
      </w:r>
      <w:r>
        <w:rPr>
          <w:rStyle w:val="afd"/>
          <w:rFonts w:ascii="Times New Roman" w:hAnsi="Times New Roman"/>
          <w:color w:val="000000"/>
          <w:sz w:val="24"/>
        </w:rPr>
        <w:t>п. 27</w:t>
      </w:r>
      <w:r>
        <w:rPr>
          <w:rFonts w:ascii="Times New Roman" w:hAnsi="Times New Roman"/>
          <w:sz w:val="24"/>
        </w:rPr>
        <w:t xml:space="preserve"> Инструкции N 157н)</w:t>
      </w:r>
    </w:p>
    <w:p w:rsidR="00E244F7" w:rsidRDefault="00E244F7">
      <w:pPr>
        <w:ind w:firstLine="0"/>
        <w:rPr>
          <w:rFonts w:ascii="Times New Roman" w:hAnsi="Times New Roman"/>
        </w:rPr>
      </w:pPr>
      <w:bookmarkStart w:id="8" w:name="sub_588675032"/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2.2.2. Устанавливается следующий порядок отражения существенных затрат на ремонт основных средств и регулярные осмотры на наличие дефектов, если они являются обязательным условием эксплуатации объектов:</w:t>
      </w:r>
    </w:p>
    <w:bookmarkEnd w:id="8"/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существенной признается стоимость, составляющая бол</w:t>
      </w:r>
      <w:r>
        <w:rPr>
          <w:rFonts w:ascii="Times New Roman" w:hAnsi="Times New Roman"/>
        </w:rPr>
        <w:t xml:space="preserve">ее </w:t>
      </w:r>
      <w:r>
        <w:rPr>
          <w:rStyle w:val="afe"/>
          <w:rFonts w:ascii="Times New Roman" w:hAnsi="Times New Roman"/>
          <w:b w:val="0"/>
          <w:bCs w:val="0"/>
          <w:color w:val="000000"/>
        </w:rPr>
        <w:t>50% от первоначальной (балансовой) стоимости всего объекта</w:t>
      </w:r>
      <w:r>
        <w:rPr>
          <w:rFonts w:ascii="Times New Roman" w:hAnsi="Times New Roman"/>
          <w:b/>
          <w:bCs/>
        </w:rPr>
        <w:t>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 существенные затраты увеличивают первоначальную (балансовую) стоимость ремонтируемых/осматриваемых объектов. Одновременно первоначальная стоимость уменьшается на затраты по ранее проведенным </w:t>
      </w:r>
      <w:r>
        <w:rPr>
          <w:rFonts w:ascii="Times New Roman" w:hAnsi="Times New Roman"/>
        </w:rPr>
        <w:t>ремонтам и осмотрам.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При этом отражаются бухгалтерские записи: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Дебет КРБ 1 104 ХХ 411 Кредит КРБ 1 101 ХХ 410 - уменьшение балансовой стоимости объекта на сумму амортизации в части затрат по проведенным ранее ремонтам;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Дебет КРБ 1 401 10 172 Кредит КРБ 1 1</w:t>
      </w:r>
      <w:r>
        <w:rPr>
          <w:rFonts w:ascii="Times New Roman" w:hAnsi="Times New Roman"/>
        </w:rPr>
        <w:t>01 ХХ 410 - уменьшение балансовой стоимости объекта на сумму остаточной стоимости в части затрат по проведенным ранее ремонтам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При отсутствии документального подтверждения стоимости предыдущего ремонта стоимость ремонтируемого объекта не уменьшается. Инфор</w:t>
      </w:r>
      <w:r>
        <w:rPr>
          <w:rFonts w:ascii="Times New Roman" w:hAnsi="Times New Roman"/>
        </w:rPr>
        <w:t xml:space="preserve">мация о проведенном осмотре и регламентном ремонте отражается в </w:t>
      </w:r>
      <w:r>
        <w:rPr>
          <w:rStyle w:val="afd"/>
          <w:rFonts w:ascii="Times New Roman" w:hAnsi="Times New Roman"/>
          <w:color w:val="000000"/>
        </w:rPr>
        <w:t>Инвентарной карточке</w:t>
      </w:r>
      <w:r>
        <w:rPr>
          <w:rFonts w:ascii="Times New Roman" w:hAnsi="Times New Roman"/>
        </w:rPr>
        <w:t xml:space="preserve"> объекта.</w:t>
      </w:r>
    </w:p>
    <w:p w:rsidR="00E244F7" w:rsidRDefault="001E26CD">
      <w:pPr>
        <w:pStyle w:val="aff"/>
        <w:ind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(Основание: </w:t>
      </w:r>
      <w:r>
        <w:rPr>
          <w:rStyle w:val="afd"/>
          <w:rFonts w:ascii="Times New Roman" w:hAnsi="Times New Roman"/>
          <w:color w:val="000000"/>
          <w:sz w:val="24"/>
        </w:rPr>
        <w:t>п. 28</w:t>
      </w:r>
      <w:r>
        <w:rPr>
          <w:rFonts w:ascii="Times New Roman" w:hAnsi="Times New Roman"/>
          <w:sz w:val="24"/>
        </w:rPr>
        <w:t xml:space="preserve"> СГС "Основные средства")</w:t>
      </w:r>
    </w:p>
    <w:p w:rsidR="00E244F7" w:rsidRDefault="00E244F7">
      <w:pPr>
        <w:ind w:firstLine="0"/>
        <w:rPr>
          <w:rFonts w:ascii="Times New Roman" w:hAnsi="Times New Roman"/>
        </w:rPr>
      </w:pPr>
      <w:bookmarkStart w:id="9" w:name="sub_324"/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2.2.3. Устанавливается следующий порядок отражения существенных затрат по замене отдельных составных частей объекта ос</w:t>
      </w:r>
      <w:r>
        <w:rPr>
          <w:rFonts w:ascii="Times New Roman" w:hAnsi="Times New Roman"/>
        </w:rPr>
        <w:t>новных средств, являющегося комплексом конструктивно-сочлененных предметов, в том числе в ходе капитального ремонта:</w:t>
      </w:r>
    </w:p>
    <w:bookmarkEnd w:id="9"/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 существенной признается стоимость составной части, составляющая более </w:t>
      </w:r>
      <w:r>
        <w:rPr>
          <w:rStyle w:val="afe"/>
          <w:rFonts w:ascii="Times New Roman" w:hAnsi="Times New Roman"/>
          <w:b w:val="0"/>
          <w:bCs w:val="0"/>
          <w:color w:val="000000"/>
        </w:rPr>
        <w:t>50% от справедливой стоимости всего объекта</w:t>
      </w:r>
      <w:r>
        <w:rPr>
          <w:rFonts w:ascii="Times New Roman" w:hAnsi="Times New Roman"/>
          <w:b/>
          <w:bCs/>
        </w:rPr>
        <w:t>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стоимость устанавлив</w:t>
      </w:r>
      <w:r>
        <w:rPr>
          <w:rFonts w:ascii="Times New Roman" w:hAnsi="Times New Roman"/>
        </w:rPr>
        <w:t>аемой новой составной части включается в стоимость объекта, одновременно его стоимость уменьшается на стоимость выбывающих составных частей, которая относится на текущие расходы.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При этом отражаются бухгалтерские записи: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Дебет 1 104 ХХ 411 Кредит 1 101 ХХ </w:t>
      </w:r>
      <w:r>
        <w:rPr>
          <w:rFonts w:ascii="Times New Roman" w:hAnsi="Times New Roman"/>
        </w:rPr>
        <w:t>410 - уменьшение балансовой стоимости объекта на сумму амортизации выбывающей части;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Дебет 1 401 10 172 Кредит 1 101 ХХ 410 - уменьшение балансовой стоимости объекта на сумму остаточной стоимости выбывающей части.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Порядок применяется к следующим группам ос</w:t>
      </w:r>
      <w:r>
        <w:rPr>
          <w:rFonts w:ascii="Times New Roman" w:hAnsi="Times New Roman"/>
        </w:rPr>
        <w:t>новных средств: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</w:t>
      </w:r>
      <w:r>
        <w:rPr>
          <w:rStyle w:val="afe"/>
          <w:rFonts w:ascii="Times New Roman" w:hAnsi="Times New Roman"/>
          <w:b w:val="0"/>
          <w:bCs w:val="0"/>
          <w:color w:val="000000"/>
        </w:rPr>
        <w:t>нежилые помещения (здания и сооружения);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t>- машины и оборудование.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В случае, когда надежно определить стоимость заменяемого объекта (части) не представляется возможным, стоимость ремонтируемого о</w:t>
      </w:r>
      <w:r>
        <w:rPr>
          <w:rFonts w:ascii="Times New Roman" w:hAnsi="Times New Roman"/>
        </w:rPr>
        <w:t xml:space="preserve">бъекта не уменьшается. Информация о замене составных частей отражается в </w:t>
      </w:r>
      <w:r>
        <w:rPr>
          <w:rStyle w:val="afd"/>
          <w:rFonts w:ascii="Times New Roman" w:hAnsi="Times New Roman"/>
          <w:color w:val="000000"/>
        </w:rPr>
        <w:t>Инвентарной карточке</w:t>
      </w:r>
      <w:r>
        <w:rPr>
          <w:rFonts w:ascii="Times New Roman" w:hAnsi="Times New Roman"/>
        </w:rPr>
        <w:t xml:space="preserve"> объекта.</w:t>
      </w:r>
    </w:p>
    <w:p w:rsidR="00E244F7" w:rsidRDefault="001E26CD">
      <w:pPr>
        <w:pStyle w:val="aff"/>
        <w:ind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(Основание: </w:t>
      </w:r>
      <w:r>
        <w:rPr>
          <w:rStyle w:val="afd"/>
          <w:rFonts w:ascii="Times New Roman" w:hAnsi="Times New Roman"/>
          <w:color w:val="000000"/>
          <w:sz w:val="24"/>
        </w:rPr>
        <w:t>п. 27</w:t>
      </w:r>
      <w:r>
        <w:rPr>
          <w:rFonts w:ascii="Times New Roman" w:hAnsi="Times New Roman"/>
          <w:sz w:val="24"/>
        </w:rPr>
        <w:t xml:space="preserve"> СГС "Основные средства", </w:t>
      </w:r>
      <w:r>
        <w:rPr>
          <w:rStyle w:val="afd"/>
          <w:rFonts w:ascii="Times New Roman" w:hAnsi="Times New Roman"/>
          <w:color w:val="000000"/>
          <w:sz w:val="24"/>
        </w:rPr>
        <w:t>письмо</w:t>
      </w:r>
      <w:r>
        <w:rPr>
          <w:rFonts w:ascii="Times New Roman" w:hAnsi="Times New Roman"/>
          <w:sz w:val="24"/>
        </w:rPr>
        <w:t xml:space="preserve"> Минфина России от 25.05.2018 N 02-06-10/35540)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2.2.4. В качестве монтажных работ квалифицируются работ</w:t>
      </w:r>
      <w:r>
        <w:rPr>
          <w:rFonts w:ascii="Times New Roman" w:hAnsi="Times New Roman"/>
        </w:rPr>
        <w:t>ы в рамках отдельной сделки, в ходе которых осуществляется соединение частей объекта друг с другом и (или) присоединение объекта к фундаменту (основанию, опоре).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Стоимость монтажных работ учитывается: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при формировании первоначальной стоимости объекта осн</w:t>
      </w:r>
      <w:r>
        <w:rPr>
          <w:rFonts w:ascii="Times New Roman" w:hAnsi="Times New Roman"/>
        </w:rPr>
        <w:t>овных средств;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при формировании себестоимости продукции, работ, услуг (списывается на текущие расходы), если монтажные работы осуществляются в отношении объекта основных средств, первоначальная стоимость которого уже сформирована.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  <w:szCs w:val="20"/>
        </w:rPr>
        <w:t xml:space="preserve">(Основание: </w:t>
      </w:r>
      <w:r>
        <w:rPr>
          <w:rStyle w:val="afd"/>
          <w:rFonts w:ascii="Times New Roman" w:hAnsi="Times New Roman"/>
          <w:color w:val="000000"/>
          <w:szCs w:val="20"/>
        </w:rPr>
        <w:t>п.п. 23</w:t>
      </w:r>
      <w:r>
        <w:rPr>
          <w:rFonts w:ascii="Times New Roman" w:hAnsi="Times New Roman"/>
          <w:szCs w:val="20"/>
        </w:rPr>
        <w:t xml:space="preserve"> Инс</w:t>
      </w:r>
      <w:r>
        <w:rPr>
          <w:rFonts w:ascii="Times New Roman" w:hAnsi="Times New Roman"/>
          <w:szCs w:val="20"/>
        </w:rPr>
        <w:t xml:space="preserve">трукции N 157н, </w:t>
      </w:r>
      <w:r>
        <w:rPr>
          <w:rStyle w:val="afd"/>
          <w:rFonts w:ascii="Times New Roman" w:hAnsi="Times New Roman"/>
          <w:color w:val="000000"/>
          <w:szCs w:val="20"/>
        </w:rPr>
        <w:t>п.п. 15</w:t>
      </w:r>
      <w:r>
        <w:rPr>
          <w:rFonts w:ascii="Times New Roman" w:hAnsi="Times New Roman"/>
          <w:szCs w:val="20"/>
        </w:rPr>
        <w:t xml:space="preserve">, </w:t>
      </w:r>
      <w:r>
        <w:rPr>
          <w:rStyle w:val="afd"/>
          <w:rFonts w:ascii="Times New Roman" w:hAnsi="Times New Roman"/>
          <w:color w:val="000000"/>
          <w:szCs w:val="20"/>
        </w:rPr>
        <w:t>19</w:t>
      </w:r>
      <w:r>
        <w:rPr>
          <w:rFonts w:ascii="Times New Roman" w:hAnsi="Times New Roman"/>
          <w:szCs w:val="20"/>
        </w:rPr>
        <w:t xml:space="preserve"> СГС "Основные средства)</w:t>
      </w:r>
    </w:p>
    <w:p w:rsidR="00E244F7" w:rsidRDefault="00E244F7">
      <w:pPr>
        <w:ind w:firstLine="0"/>
        <w:rPr>
          <w:rFonts w:ascii="Times New Roman" w:hAnsi="Times New Roman"/>
        </w:rPr>
      </w:pPr>
      <w:bookmarkStart w:id="10" w:name="sub_323"/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2.2.5. Затраты на модернизацию, дооборудование, реконструкцию, в том числе с элементами реставрации, объектов основных средств относятся на увеличение балансовой </w:t>
      </w:r>
      <w:r>
        <w:rPr>
          <w:rFonts w:ascii="Times New Roman" w:hAnsi="Times New Roman"/>
        </w:rPr>
        <w:lastRenderedPageBreak/>
        <w:t>стоимости этих основных средств после окончания предусмотренных договором (сметой) объемов раб</w:t>
      </w:r>
      <w:r>
        <w:rPr>
          <w:rFonts w:ascii="Times New Roman" w:hAnsi="Times New Roman"/>
        </w:rPr>
        <w:t>от, если по результатам проведенных работ улучшились (повысились) первоначально принятые нормативные показатели функционирования объектов основных средств.</w:t>
      </w:r>
    </w:p>
    <w:bookmarkEnd w:id="10"/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Пригодные для дальнейшего использования узлы (детали), замененные в ходе модернизации, дооборудовани</w:t>
      </w:r>
      <w:r>
        <w:rPr>
          <w:rFonts w:ascii="Times New Roman" w:hAnsi="Times New Roman"/>
        </w:rPr>
        <w:t>я, реконструкции или ремонта объектов основных средств, подлежат оприходованию и включению в состав материальных запасов по справедливой стоимости.</w:t>
      </w:r>
    </w:p>
    <w:p w:rsidR="00E244F7" w:rsidRDefault="001E26CD">
      <w:pPr>
        <w:pStyle w:val="aff"/>
        <w:ind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(Основание: </w:t>
      </w:r>
      <w:r>
        <w:rPr>
          <w:rStyle w:val="afd"/>
          <w:rFonts w:ascii="Times New Roman" w:hAnsi="Times New Roman"/>
          <w:color w:val="000000"/>
          <w:sz w:val="24"/>
        </w:rPr>
        <w:t>п.п. 25</w:t>
      </w:r>
      <w:r>
        <w:rPr>
          <w:rFonts w:ascii="Times New Roman" w:hAnsi="Times New Roman"/>
          <w:sz w:val="24"/>
        </w:rPr>
        <w:t xml:space="preserve">, </w:t>
      </w:r>
      <w:r>
        <w:rPr>
          <w:rStyle w:val="afd"/>
          <w:rFonts w:ascii="Times New Roman" w:hAnsi="Times New Roman"/>
          <w:color w:val="000000"/>
          <w:sz w:val="24"/>
        </w:rPr>
        <w:t>27</w:t>
      </w:r>
      <w:r>
        <w:rPr>
          <w:rFonts w:ascii="Times New Roman" w:hAnsi="Times New Roman"/>
          <w:sz w:val="24"/>
        </w:rPr>
        <w:t xml:space="preserve">, </w:t>
      </w:r>
      <w:r>
        <w:rPr>
          <w:rStyle w:val="afd"/>
          <w:rFonts w:ascii="Times New Roman" w:hAnsi="Times New Roman"/>
          <w:color w:val="000000"/>
          <w:sz w:val="24"/>
        </w:rPr>
        <w:t>31</w:t>
      </w:r>
      <w:r>
        <w:rPr>
          <w:rFonts w:ascii="Times New Roman" w:hAnsi="Times New Roman"/>
          <w:sz w:val="24"/>
        </w:rPr>
        <w:t xml:space="preserve">, </w:t>
      </w:r>
      <w:r>
        <w:rPr>
          <w:rStyle w:val="afd"/>
          <w:rFonts w:ascii="Times New Roman" w:hAnsi="Times New Roman"/>
          <w:color w:val="000000"/>
          <w:sz w:val="24"/>
        </w:rPr>
        <w:t>106</w:t>
      </w:r>
      <w:r>
        <w:rPr>
          <w:rFonts w:ascii="Times New Roman" w:hAnsi="Times New Roman"/>
          <w:sz w:val="24"/>
        </w:rPr>
        <w:t xml:space="preserve"> Инструкции N 157н, </w:t>
      </w:r>
      <w:r>
        <w:rPr>
          <w:rStyle w:val="afd"/>
          <w:rFonts w:ascii="Times New Roman" w:hAnsi="Times New Roman"/>
          <w:color w:val="000000"/>
          <w:sz w:val="24"/>
        </w:rPr>
        <w:t>п. 19</w:t>
      </w:r>
      <w:r>
        <w:rPr>
          <w:rFonts w:ascii="Times New Roman" w:hAnsi="Times New Roman"/>
          <w:sz w:val="24"/>
        </w:rPr>
        <w:t xml:space="preserve"> СГС "Основные средства)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2.2.6. Порядок учета затр</w:t>
      </w:r>
      <w:r>
        <w:rPr>
          <w:rFonts w:ascii="Times New Roman" w:hAnsi="Times New Roman"/>
        </w:rPr>
        <w:t>ат на увеличение стоимости числящегося на балансе движимого имущества в рамках выполнения ремонта (в т.ч. капитального) или монтажных работ (в т.ч. по монтажу единых функционирующих систем) устанавливается следующий: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затраты на проведение таких работ кла</w:t>
      </w:r>
      <w:r>
        <w:rPr>
          <w:rFonts w:ascii="Times New Roman" w:hAnsi="Times New Roman"/>
        </w:rPr>
        <w:t>ссифицируются как расходы текущего характера и подлежат отражению в полной сумме: по подстатье 225 "Работы, услуги по содержанию имущества" КОСГУ в части капитального ремонта; по подстатье 228 "Прочие работы, услуги" в части монтажных работ;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часть стоимо</w:t>
      </w:r>
      <w:r>
        <w:rPr>
          <w:rFonts w:ascii="Times New Roman" w:hAnsi="Times New Roman"/>
        </w:rPr>
        <w:t>сти работ, увеличивающая балансовую стоимость определенных основных средств, на основании Акта выполненных работ, Акта КС-2 списывается в дебет счета 0 106 00 000 "Вложения в нефинансовые активы";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на основании решения Комиссии по поступлению и выбытию ак</w:t>
      </w:r>
      <w:r>
        <w:rPr>
          <w:rFonts w:ascii="Times New Roman" w:hAnsi="Times New Roman"/>
        </w:rPr>
        <w:t>тивов принимается к учету увеличение стоимости числящегося на балансе определенных основных средств в качестве достройки, реконструкции, модернизации, дооборудования.</w:t>
      </w:r>
    </w:p>
    <w:p w:rsidR="00E244F7" w:rsidRDefault="00E244F7">
      <w:pPr>
        <w:ind w:firstLine="0"/>
        <w:rPr>
          <w:rFonts w:ascii="Times New Roman" w:hAnsi="Times New Roman"/>
        </w:rPr>
      </w:pPr>
      <w:bookmarkStart w:id="11" w:name="sub_588675254"/>
    </w:p>
    <w:p w:rsidR="00E244F7" w:rsidRDefault="001E26CD">
      <w:pPr>
        <w:ind w:firstLine="0"/>
        <w:rPr>
          <w:rFonts w:ascii="Times New Roman" w:hAnsi="Times New Roman"/>
        </w:rPr>
      </w:pPr>
      <w:bookmarkStart w:id="12" w:name="sub_23"/>
      <w:r>
        <w:rPr>
          <w:rStyle w:val="afe"/>
          <w:rFonts w:ascii="Times New Roman" w:hAnsi="Times New Roman"/>
          <w:b w:val="0"/>
          <w:bCs w:val="0"/>
          <w:color w:val="000000"/>
        </w:rPr>
        <w:t>2.3. Разукомплектация (частичная ликвидация) или объединение объектов основных средств</w:t>
      </w:r>
    </w:p>
    <w:bookmarkEnd w:id="12"/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2.3.1. Разукомплектация (частичная ликвидация) объектов основных средств оформляется Актом о списании имущества установленной для данного основного средства формы. Принятие к учету образовавшихся в результате разукомплектации объектов осуществляется на осн</w:t>
      </w:r>
      <w:r>
        <w:rPr>
          <w:rFonts w:ascii="Times New Roman" w:hAnsi="Times New Roman"/>
        </w:rPr>
        <w:t>овании: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 Акта о приеме-передаче нефинансовых активов (ф. 0510448).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2.3.2. При объединении в один объект нескольких инвентарных объектов, ранее учитываемых на счете 0 101 00 000 "Основные средства", стоимость вновь образованного инвентарного объекта опред</w:t>
      </w:r>
      <w:r>
        <w:rPr>
          <w:rFonts w:ascii="Times New Roman" w:hAnsi="Times New Roman"/>
        </w:rPr>
        <w:t xml:space="preserve">еляется путем суммирования балансовых стоимостей и сумм начисленной амортизации. Бухгалтерские записи отражаются с применением счета </w:t>
      </w:r>
      <w:r>
        <w:rPr>
          <w:rStyle w:val="afd"/>
          <w:rFonts w:ascii="Times New Roman" w:hAnsi="Times New Roman"/>
          <w:color w:val="000000"/>
        </w:rPr>
        <w:t>0 401 10 172</w:t>
      </w:r>
      <w:r>
        <w:rPr>
          <w:rFonts w:ascii="Times New Roman" w:hAnsi="Times New Roman"/>
        </w:rPr>
        <w:t xml:space="preserve"> "Доходы от операций с активами". Если объединяемые объекты имеют разный оставшийся срок полезного использовани</w:t>
      </w:r>
      <w:r>
        <w:rPr>
          <w:rFonts w:ascii="Times New Roman" w:hAnsi="Times New Roman"/>
        </w:rPr>
        <w:t>я, то Комиссия по поступлению и выбытию активов должна указать срок полезного использования для вновь образованного инвентарного объекта.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bookmarkStart w:id="13" w:name="sub_24"/>
      <w:r>
        <w:rPr>
          <w:rStyle w:val="afe"/>
          <w:rFonts w:ascii="Times New Roman" w:hAnsi="Times New Roman"/>
          <w:b w:val="0"/>
          <w:bCs w:val="0"/>
          <w:color w:val="000000"/>
        </w:rPr>
        <w:t>2.4. Порядок списания пришедших в негодность основных средств</w:t>
      </w:r>
    </w:p>
    <w:bookmarkEnd w:id="13"/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2.4.1. При списании основного средства в гарантийный период по решению Комиссии по поступлению и выбытию активов предпринимаются меры по возврату денежных средств или его замене в порядке, установленном законодательством РФ. Указанное правило не распростра</w:t>
      </w:r>
      <w:r>
        <w:rPr>
          <w:rFonts w:ascii="Times New Roman" w:hAnsi="Times New Roman"/>
        </w:rPr>
        <w:t>няется на имущество, списываемое вследствие его утраты помимо воли учреждения.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2.4.2. При списании основного средства, когда срок гарантийного периода уже истек, Комиссией по поступлению и выбытию активов устанавливается и документально подтверждается: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</w:t>
      </w:r>
      <w:r>
        <w:rPr>
          <w:rFonts w:ascii="Times New Roman" w:hAnsi="Times New Roman"/>
        </w:rPr>
        <w:t>непригодность основного средства для дальнейшего использования;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- нецелесообразность (неэффективность) восстановления (ремонта, модернизации, реконструкции) объекта.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2.4.3. Факт непригодности основного средства для дальнейшего использования подтверждается</w:t>
      </w:r>
      <w:r>
        <w:rPr>
          <w:rFonts w:ascii="Times New Roman" w:hAnsi="Times New Roman"/>
        </w:rPr>
        <w:t>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если причиной списания является неисправность или физический износ - путем указания внешних признаков неисправности объекта, а также наименований и заводских маркировок вышедших из строя узлов, деталей и составных частей;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если причиной списания являе</w:t>
      </w:r>
      <w:r>
        <w:rPr>
          <w:rFonts w:ascii="Times New Roman" w:hAnsi="Times New Roman"/>
        </w:rPr>
        <w:t>тся моральный износ - путем указания технических характеристик, делающих дальнейшую эксплуатацию невозможной или экономически неэффективной.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Документы, устанавливающие факт непригодности: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заключение сотрудника (сотрудников), имеющего (имеющих) документально подтвержденную квалификацию для проведения технической экспертизы по соответствующему типу основного средства;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заключение организации (физического лица), имеющей документально подтве</w:t>
      </w:r>
      <w:r>
        <w:rPr>
          <w:rFonts w:ascii="Times New Roman" w:hAnsi="Times New Roman"/>
        </w:rPr>
        <w:t>ржденную квалификацию для проведения технической экспертизы по соответствующему типу основного средства.</w:t>
      </w:r>
    </w:p>
    <w:p w:rsidR="00E244F7" w:rsidRDefault="00E244F7">
      <w:pPr>
        <w:ind w:firstLine="0"/>
        <w:rPr>
          <w:rFonts w:ascii="Times New Roman" w:hAnsi="Times New Roman"/>
        </w:rPr>
      </w:pPr>
      <w:bookmarkStart w:id="14" w:name="sub_344"/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2.4.4. Факт нецелесообразности (неэффективности) восстановления основного средства устанавливается Комиссией на основании:</w:t>
      </w:r>
    </w:p>
    <w:bookmarkEnd w:id="14"/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сметы на проведение работ</w:t>
      </w:r>
      <w:r>
        <w:rPr>
          <w:rFonts w:ascii="Times New Roman" w:hAnsi="Times New Roman"/>
        </w:rPr>
        <w:t xml:space="preserve"> по восстановлению основного средства с указанием гарантии работоспособности основного средства и сроков исполнения восстановления. Смета может быть составлена как сотрудником, функциональными обязанностями которого определено выполнение таких работ, так и</w:t>
      </w:r>
      <w:r>
        <w:rPr>
          <w:rFonts w:ascii="Times New Roman" w:hAnsi="Times New Roman"/>
        </w:rPr>
        <w:t xml:space="preserve"> сторонними специалистами, имеющими документально подтвержденную квалификацию для проведения соответствующих работ;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документов, подтверждающих оценочную стоимость новых аналогичных объектов (с учетом гарантийных обязательств).</w:t>
      </w:r>
    </w:p>
    <w:p w:rsidR="00E244F7" w:rsidRDefault="00E244F7">
      <w:pPr>
        <w:ind w:firstLine="0"/>
        <w:rPr>
          <w:rFonts w:ascii="Times New Roman" w:hAnsi="Times New Roman"/>
        </w:rPr>
      </w:pPr>
      <w:bookmarkStart w:id="15" w:name="sub_345"/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2.4.5. Ликвидация объектов</w:t>
      </w:r>
      <w:r>
        <w:rPr>
          <w:rFonts w:ascii="Times New Roman" w:hAnsi="Times New Roman"/>
        </w:rPr>
        <w:t xml:space="preserve"> основных средств осуществляется:</w:t>
      </w:r>
    </w:p>
    <w:bookmarkEnd w:id="15"/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 силами учреждения, ответственным за проводимые мероприятия назначается </w:t>
      </w:r>
      <w:r>
        <w:rPr>
          <w:rStyle w:val="afe"/>
          <w:rFonts w:ascii="Times New Roman" w:hAnsi="Times New Roman"/>
          <w:b w:val="0"/>
          <w:color w:val="000000" w:themeColor="text1"/>
        </w:rPr>
        <w:t>Главой поселения</w:t>
      </w:r>
      <w:r>
        <w:rPr>
          <w:rFonts w:ascii="Times New Roman" w:hAnsi="Times New Roman"/>
          <w:b/>
          <w:bCs/>
        </w:rPr>
        <w:t>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 при отсутствии соответствующих возможностей - с привлечением специализированных организаций, согласно заключенных в соответствии </w:t>
      </w:r>
      <w:r>
        <w:rPr>
          <w:rFonts w:ascii="Times New Roman" w:hAnsi="Times New Roman"/>
        </w:rPr>
        <w:t>с действующим законодательством договоров.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2.4.6. Узлы (детали, составные части), поступающие в организацию в результате ликвидации основных средств, принимаются к учету в составе материальных запасов по справедливой стоимости, если они: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пригодны к испо</w:t>
      </w:r>
      <w:r>
        <w:rPr>
          <w:rFonts w:ascii="Times New Roman" w:hAnsi="Times New Roman"/>
        </w:rPr>
        <w:t>льзованию в учреждении;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могут быть реализованы;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 являются вторичным сырьем: </w:t>
      </w:r>
      <w:r>
        <w:rPr>
          <w:rStyle w:val="afe"/>
          <w:rFonts w:ascii="Times New Roman" w:hAnsi="Times New Roman"/>
          <w:b w:val="0"/>
          <w:bCs w:val="0"/>
          <w:color w:val="000000"/>
        </w:rPr>
        <w:t>металлолом, драгоценные металлы (серебросодержащие части оборудования), макулатура, полимерная пленка, дрова, ветошь и т</w:t>
      </w:r>
      <w:r>
        <w:rPr>
          <w:rFonts w:ascii="Times New Roman" w:hAnsi="Times New Roman"/>
        </w:rPr>
        <w:t>.п.</w:t>
      </w:r>
    </w:p>
    <w:p w:rsidR="00E244F7" w:rsidRDefault="001E26CD">
      <w:pPr>
        <w:ind w:firstLine="0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 xml:space="preserve">Не подлежащие реализации отходы (в том числе отходы, </w:t>
      </w:r>
      <w:r>
        <w:rPr>
          <w:rFonts w:ascii="Times New Roman" w:hAnsi="Times New Roman"/>
        </w:rPr>
        <w:t>подлежащие утилизации в установленном порядке), не принимаются к бухгалтерскому учету - движение таких отходов учитывается в</w:t>
      </w:r>
      <w:r>
        <w:rPr>
          <w:rStyle w:val="afe"/>
          <w:rFonts w:ascii="Times New Roman" w:hAnsi="Times New Roman"/>
          <w:color w:val="000000"/>
        </w:rPr>
        <w:t xml:space="preserve"> </w:t>
      </w:r>
      <w:r>
        <w:rPr>
          <w:rStyle w:val="afe"/>
          <w:rFonts w:ascii="Times New Roman" w:hAnsi="Times New Roman"/>
          <w:b w:val="0"/>
          <w:bCs w:val="0"/>
          <w:color w:val="000000"/>
        </w:rPr>
        <w:t>ответственное за материально-техническое обеспечение.</w:t>
      </w:r>
    </w:p>
    <w:p w:rsidR="00E244F7" w:rsidRDefault="00E244F7">
      <w:pPr>
        <w:ind w:firstLine="0"/>
        <w:rPr>
          <w:rFonts w:ascii="Times New Roman" w:hAnsi="Times New Roman"/>
        </w:rPr>
      </w:pPr>
      <w:bookmarkStart w:id="16" w:name="sub_346"/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2.4.7. Документальное оформление списания основных средств устанавливается с</w:t>
      </w:r>
      <w:r>
        <w:rPr>
          <w:rFonts w:ascii="Times New Roman" w:hAnsi="Times New Roman"/>
        </w:rPr>
        <w:t>ледующее:</w:t>
      </w:r>
    </w:p>
    <w:bookmarkEnd w:id="16"/>
    <w:p w:rsidR="00E244F7" w:rsidRDefault="001E26CD">
      <w:pPr>
        <w:ind w:firstLine="0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- решение Комиссии о выводе основного средства из эксплуатации оформляется 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 Решением о прекращении признания активами объектов нефинансовых активов (ф. 0510440) с приложением документов, устанавливающих факт непригодности основного средства ил</w:t>
      </w:r>
      <w:r>
        <w:rPr>
          <w:rFonts w:ascii="Times New Roman" w:hAnsi="Times New Roman"/>
        </w:rPr>
        <w:t>и факт нецелесообразности его восстановления;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до реализации мероприятий, предусмотренных Актом о списании имущества </w:t>
      </w:r>
      <w:r>
        <w:rPr>
          <w:rFonts w:ascii="Times New Roman" w:hAnsi="Times New Roman"/>
        </w:rPr>
        <w:lastRenderedPageBreak/>
        <w:t>(согласование, демонтаж, утилизация, уничтожение), выведенные из эксплуатации основные средства учитываются на забалансовом счете 02 "Мате</w:t>
      </w:r>
      <w:r>
        <w:rPr>
          <w:rFonts w:ascii="Times New Roman" w:hAnsi="Times New Roman"/>
        </w:rPr>
        <w:t>риальные ценности на хранении";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 по факту ликвидации объекта силами учреждения составляется Акт об утилизации (уничтожении) материальных ценностей (ф. 0510435), к которому по решению Комиссии может быть приложен соответствующий фотоотчет;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 по факту ликвидации с привлечением специализированной организации составляется Акт об утилизации (уничтожении) материальных ценностей (ф. 0510435). Ликвидация подтверждается "Отчетом" соответствующей организации с указанием исполненных мероприятий: сдачи</w:t>
      </w:r>
      <w:r>
        <w:rPr>
          <w:rFonts w:ascii="Times New Roman" w:hAnsi="Times New Roman"/>
        </w:rPr>
        <w:t xml:space="preserve"> металлолома, драгметаллов, утилизации бытовых отходов и т.п..</w:t>
      </w:r>
    </w:p>
    <w:p w:rsidR="00E244F7" w:rsidRDefault="001E26CD">
      <w:pPr>
        <w:pStyle w:val="aff"/>
        <w:ind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(Основание: </w:t>
      </w:r>
      <w:r>
        <w:rPr>
          <w:rStyle w:val="afd"/>
          <w:rFonts w:ascii="Times New Roman" w:hAnsi="Times New Roman"/>
          <w:color w:val="000000"/>
          <w:sz w:val="24"/>
        </w:rPr>
        <w:t>п. 45</w:t>
      </w:r>
      <w:r>
        <w:rPr>
          <w:rFonts w:ascii="Times New Roman" w:hAnsi="Times New Roman"/>
          <w:sz w:val="24"/>
        </w:rPr>
        <w:t xml:space="preserve"> СГС "Основные средства", </w:t>
      </w:r>
      <w:r>
        <w:rPr>
          <w:rStyle w:val="afd"/>
          <w:rFonts w:ascii="Times New Roman" w:hAnsi="Times New Roman"/>
          <w:color w:val="000000"/>
          <w:sz w:val="24"/>
        </w:rPr>
        <w:t>п.п. 51</w:t>
      </w:r>
      <w:r>
        <w:rPr>
          <w:rFonts w:ascii="Times New Roman" w:hAnsi="Times New Roman"/>
          <w:sz w:val="24"/>
        </w:rPr>
        <w:t xml:space="preserve">, </w:t>
      </w:r>
      <w:r>
        <w:rPr>
          <w:rStyle w:val="afd"/>
          <w:rFonts w:ascii="Times New Roman" w:hAnsi="Times New Roman"/>
          <w:color w:val="000000"/>
          <w:sz w:val="24"/>
        </w:rPr>
        <w:t>335</w:t>
      </w:r>
      <w:r>
        <w:rPr>
          <w:rFonts w:ascii="Times New Roman" w:hAnsi="Times New Roman"/>
          <w:sz w:val="24"/>
        </w:rPr>
        <w:t xml:space="preserve"> Инструкции N 157н)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bookmarkStart w:id="17" w:name="sub_25"/>
      <w:r>
        <w:rPr>
          <w:rStyle w:val="afe"/>
          <w:rFonts w:ascii="Times New Roman" w:hAnsi="Times New Roman"/>
          <w:b w:val="0"/>
          <w:bCs w:val="0"/>
          <w:color w:val="000000"/>
        </w:rPr>
        <w:t>2.5. Особенности учета приспособлений и принадлежностей к основным средствам</w:t>
      </w:r>
    </w:p>
    <w:p w:rsidR="00E244F7" w:rsidRDefault="00E244F7">
      <w:pPr>
        <w:ind w:firstLine="0"/>
        <w:rPr>
          <w:rFonts w:ascii="Times New Roman" w:hAnsi="Times New Roman"/>
        </w:rPr>
      </w:pPr>
      <w:bookmarkStart w:id="18" w:name="sub_351"/>
      <w:bookmarkEnd w:id="17"/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4.5.1. Объектом основных средств является объект со всеми приспособлениями и принадлежностями. Приспособления и принадлежности приобретаются как материальные запасы. С момента включения в состав соответствующего основного средства приспособления и принадле</w:t>
      </w:r>
      <w:r>
        <w:rPr>
          <w:rFonts w:ascii="Times New Roman" w:hAnsi="Times New Roman"/>
        </w:rPr>
        <w:t xml:space="preserve">жности как самостоятельные объекты в учете не отражаются. При наличии в документах поставщика информации о стоимости приспособлений (принадлежностей) она отражается в </w:t>
      </w:r>
      <w:r>
        <w:rPr>
          <w:rStyle w:val="afd"/>
          <w:rFonts w:ascii="Times New Roman" w:hAnsi="Times New Roman"/>
          <w:color w:val="000000"/>
        </w:rPr>
        <w:t>Инвентарной карточке</w:t>
      </w:r>
      <w:r>
        <w:rPr>
          <w:rFonts w:ascii="Times New Roman" w:hAnsi="Times New Roman"/>
        </w:rPr>
        <w:t xml:space="preserve"> - в дальнейшем такая информация может использоваться в целях отражен</w:t>
      </w:r>
      <w:r>
        <w:rPr>
          <w:rFonts w:ascii="Times New Roman" w:hAnsi="Times New Roman"/>
        </w:rPr>
        <w:t>ия в учете операций по модернизации, разукомплектации (частичной ликвидации) и т.п.</w:t>
      </w:r>
    </w:p>
    <w:bookmarkEnd w:id="18"/>
    <w:p w:rsidR="00E244F7" w:rsidRDefault="001E26CD">
      <w:pPr>
        <w:pStyle w:val="aff"/>
        <w:ind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(Основание: </w:t>
      </w:r>
      <w:r>
        <w:rPr>
          <w:rStyle w:val="afd"/>
          <w:rFonts w:ascii="Times New Roman" w:hAnsi="Times New Roman"/>
          <w:color w:val="000000"/>
          <w:sz w:val="24"/>
        </w:rPr>
        <w:t>п. 45</w:t>
      </w:r>
      <w:r>
        <w:rPr>
          <w:rFonts w:ascii="Times New Roman" w:hAnsi="Times New Roman"/>
          <w:sz w:val="24"/>
        </w:rPr>
        <w:t xml:space="preserve"> Инструкции N 157н, </w:t>
      </w:r>
      <w:r>
        <w:rPr>
          <w:rStyle w:val="afd"/>
          <w:rFonts w:ascii="Times New Roman" w:hAnsi="Times New Roman"/>
          <w:color w:val="000000"/>
          <w:sz w:val="24"/>
        </w:rPr>
        <w:t>п. 10</w:t>
      </w:r>
      <w:r>
        <w:rPr>
          <w:rFonts w:ascii="Times New Roman" w:hAnsi="Times New Roman"/>
          <w:sz w:val="24"/>
        </w:rPr>
        <w:t xml:space="preserve"> СГС "Основные средства")</w:t>
      </w:r>
    </w:p>
    <w:p w:rsidR="00E244F7" w:rsidRDefault="00E244F7">
      <w:pPr>
        <w:ind w:firstLine="0"/>
        <w:rPr>
          <w:rFonts w:ascii="Times New Roman" w:hAnsi="Times New Roman"/>
        </w:rPr>
      </w:pPr>
      <w:bookmarkStart w:id="19" w:name="sub_352"/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2.5.2. Приспособления и принадлежности, закрепленные за объектом основных средств, учитываются в соотве</w:t>
      </w:r>
      <w:r>
        <w:rPr>
          <w:rFonts w:ascii="Times New Roman" w:hAnsi="Times New Roman"/>
        </w:rPr>
        <w:t xml:space="preserve">тствующей </w:t>
      </w:r>
      <w:r>
        <w:rPr>
          <w:rStyle w:val="afd"/>
          <w:rFonts w:ascii="Times New Roman" w:hAnsi="Times New Roman"/>
          <w:color w:val="000000"/>
        </w:rPr>
        <w:t>Инвентарной карточке</w:t>
      </w:r>
      <w:r>
        <w:rPr>
          <w:rFonts w:ascii="Times New Roman" w:hAnsi="Times New Roman"/>
        </w:rPr>
        <w:t>. При наличии возможности на каждое приспособление (принадлежность) наносится инвентарный номер соответствующего основного средства.</w:t>
      </w:r>
    </w:p>
    <w:bookmarkEnd w:id="19"/>
    <w:p w:rsidR="00E244F7" w:rsidRDefault="001E26CD">
      <w:pPr>
        <w:pStyle w:val="aff"/>
        <w:ind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(Основание: </w:t>
      </w:r>
      <w:r>
        <w:rPr>
          <w:rStyle w:val="afd"/>
          <w:rFonts w:ascii="Times New Roman" w:hAnsi="Times New Roman"/>
          <w:color w:val="000000"/>
          <w:sz w:val="24"/>
        </w:rPr>
        <w:t>п. 46</w:t>
      </w:r>
      <w:r>
        <w:rPr>
          <w:rFonts w:ascii="Times New Roman" w:hAnsi="Times New Roman"/>
          <w:sz w:val="24"/>
        </w:rPr>
        <w:t xml:space="preserve"> Инструкции N 157н)</w:t>
      </w:r>
    </w:p>
    <w:p w:rsidR="00E244F7" w:rsidRDefault="00E244F7">
      <w:pPr>
        <w:ind w:firstLine="0"/>
        <w:rPr>
          <w:rFonts w:ascii="Times New Roman" w:hAnsi="Times New Roman"/>
        </w:rPr>
      </w:pPr>
      <w:bookmarkStart w:id="20" w:name="sub_353"/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2.5.3. Если принадлежности приобретаются для комплектац</w:t>
      </w:r>
      <w:r>
        <w:rPr>
          <w:rFonts w:ascii="Times New Roman" w:hAnsi="Times New Roman"/>
        </w:rPr>
        <w:t>ии нового основного средства, их стоимость учитывается при формировании первоначальной стоимости соответствующего основного средства.</w:t>
      </w:r>
    </w:p>
    <w:bookmarkEnd w:id="20"/>
    <w:p w:rsidR="00E244F7" w:rsidRDefault="001E26CD">
      <w:pPr>
        <w:pStyle w:val="aff"/>
        <w:ind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(Основание: </w:t>
      </w:r>
      <w:r>
        <w:rPr>
          <w:rStyle w:val="afd"/>
          <w:rFonts w:ascii="Times New Roman" w:hAnsi="Times New Roman"/>
          <w:color w:val="000000"/>
          <w:sz w:val="24"/>
        </w:rPr>
        <w:t>п. 23</w:t>
      </w:r>
      <w:r>
        <w:rPr>
          <w:rFonts w:ascii="Times New Roman" w:hAnsi="Times New Roman"/>
          <w:sz w:val="24"/>
        </w:rPr>
        <w:t xml:space="preserve"> Инструкции N 157н, </w:t>
      </w:r>
      <w:r>
        <w:rPr>
          <w:rStyle w:val="afd"/>
          <w:rFonts w:ascii="Times New Roman" w:hAnsi="Times New Roman"/>
          <w:color w:val="000000"/>
          <w:sz w:val="24"/>
        </w:rPr>
        <w:t>п. 15</w:t>
      </w:r>
      <w:r>
        <w:rPr>
          <w:rFonts w:ascii="Times New Roman" w:hAnsi="Times New Roman"/>
          <w:sz w:val="24"/>
        </w:rPr>
        <w:t xml:space="preserve"> СГС "Основные средства")</w:t>
      </w:r>
    </w:p>
    <w:p w:rsidR="00E244F7" w:rsidRDefault="00E244F7">
      <w:pPr>
        <w:ind w:firstLine="0"/>
        <w:rPr>
          <w:rFonts w:ascii="Times New Roman" w:hAnsi="Times New Roman"/>
        </w:rPr>
      </w:pPr>
      <w:bookmarkStart w:id="21" w:name="sub_354"/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2.5.4. Балансовая стоимость основного средства увелич</w:t>
      </w:r>
      <w:r>
        <w:rPr>
          <w:rFonts w:ascii="Times New Roman" w:hAnsi="Times New Roman"/>
        </w:rPr>
        <w:t>ивается в результате дооборудования (модернизации) и закрепления за этим объектом новой принадлежности, которой ранее не было в составе этого основного средства, на основании решения профильной комиссии.</w:t>
      </w:r>
    </w:p>
    <w:p w:rsidR="00E244F7" w:rsidRDefault="00E244F7">
      <w:pPr>
        <w:ind w:firstLine="0"/>
        <w:rPr>
          <w:rFonts w:ascii="Times New Roman" w:hAnsi="Times New Roman"/>
        </w:rPr>
      </w:pPr>
    </w:p>
    <w:bookmarkEnd w:id="21"/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2.5.5. В случае замены закрепленной за объектом осн</w:t>
      </w:r>
      <w:r>
        <w:rPr>
          <w:rFonts w:ascii="Times New Roman" w:hAnsi="Times New Roman"/>
        </w:rPr>
        <w:t>овных средств принадлежности, которая пришла в негодность, на новую, стоимость этой принадлежности списывается на себестоимость (финансовый результат). Исключение составляют исправные принадлежности существенной стоимости, определяемые согласно п. 4.2.3 на</w:t>
      </w:r>
      <w:r>
        <w:rPr>
          <w:rFonts w:ascii="Times New Roman" w:hAnsi="Times New Roman"/>
        </w:rPr>
        <w:t xml:space="preserve">стоящей Учетной политики. Факт замены принадлежности отражается в </w:t>
      </w:r>
      <w:r>
        <w:rPr>
          <w:rStyle w:val="afd"/>
          <w:rFonts w:ascii="Times New Roman" w:hAnsi="Times New Roman"/>
          <w:color w:val="000000"/>
        </w:rPr>
        <w:t>Инвентарной карточке</w:t>
      </w:r>
      <w:r>
        <w:rPr>
          <w:rFonts w:ascii="Times New Roman" w:hAnsi="Times New Roman"/>
        </w:rPr>
        <w:t>.</w:t>
      </w:r>
    </w:p>
    <w:p w:rsidR="00E244F7" w:rsidRDefault="001E26CD">
      <w:pPr>
        <w:pStyle w:val="aff"/>
        <w:ind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(Основание: </w:t>
      </w:r>
      <w:r>
        <w:rPr>
          <w:rStyle w:val="afd"/>
          <w:rFonts w:ascii="Times New Roman" w:hAnsi="Times New Roman"/>
          <w:color w:val="000000"/>
          <w:sz w:val="24"/>
        </w:rPr>
        <w:t>п. 27</w:t>
      </w:r>
      <w:r>
        <w:rPr>
          <w:rFonts w:ascii="Times New Roman" w:hAnsi="Times New Roman"/>
          <w:sz w:val="24"/>
        </w:rPr>
        <w:t xml:space="preserve"> Инструкции N 157н)</w:t>
      </w:r>
    </w:p>
    <w:p w:rsidR="00E244F7" w:rsidRDefault="00E244F7">
      <w:pPr>
        <w:ind w:firstLine="0"/>
        <w:rPr>
          <w:rFonts w:ascii="Times New Roman" w:hAnsi="Times New Roman"/>
        </w:rPr>
      </w:pPr>
      <w:bookmarkStart w:id="22" w:name="sub_356"/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2.5.6. При выводе исправной принадлежности существенной стоимости из состава объекта основных средств принадлежность принимается к</w:t>
      </w:r>
      <w:r>
        <w:rPr>
          <w:rFonts w:ascii="Times New Roman" w:hAnsi="Times New Roman"/>
        </w:rPr>
        <w:t xml:space="preserve"> учету в составе материальных запасов по справедливой стоимости. </w:t>
      </w:r>
    </w:p>
    <w:bookmarkEnd w:id="22"/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Балансовая стоимость объекта основных средств уменьшается путем отражения в учете разукомплектации. Амортизация при этом уменьшается пропорционально доли балансовой стоимости принадлежности </w:t>
      </w:r>
      <w:r>
        <w:rPr>
          <w:rFonts w:ascii="Times New Roman" w:hAnsi="Times New Roman"/>
        </w:rPr>
        <w:t xml:space="preserve">в первоначальной стоимости основного средства. Факт выбытия принадлежности отражается в </w:t>
      </w:r>
      <w:r>
        <w:rPr>
          <w:rStyle w:val="afd"/>
          <w:rFonts w:ascii="Times New Roman" w:hAnsi="Times New Roman"/>
          <w:color w:val="000000"/>
        </w:rPr>
        <w:t>Инвентарной карточке</w:t>
      </w:r>
      <w:r>
        <w:rPr>
          <w:rFonts w:ascii="Times New Roman" w:hAnsi="Times New Roman"/>
        </w:rPr>
        <w:t>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2.5.7. Обмен принадлежностей одинакового функционального назначения между двумя объектами основных средств, также имеющим одинаковое функциональн</w:t>
      </w:r>
      <w:r>
        <w:rPr>
          <w:rFonts w:ascii="Times New Roman" w:hAnsi="Times New Roman"/>
        </w:rPr>
        <w:t xml:space="preserve">ое назначение, не отражается в балансовом учете. Изменение состава принадлежностей обоих объектов основных средств отражается в </w:t>
      </w:r>
      <w:r>
        <w:rPr>
          <w:rStyle w:val="afd"/>
          <w:rFonts w:ascii="Times New Roman" w:hAnsi="Times New Roman"/>
          <w:color w:val="000000"/>
        </w:rPr>
        <w:t>Инвентарной карточке</w:t>
      </w:r>
      <w:r>
        <w:rPr>
          <w:rFonts w:ascii="Times New Roman" w:hAnsi="Times New Roman"/>
        </w:rPr>
        <w:t>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2.5.8. Инвентаризация (проверка наличия) приспособлений и принадлежностей, числящихся в составе основного</w:t>
      </w:r>
      <w:r>
        <w:rPr>
          <w:rFonts w:ascii="Times New Roman" w:hAnsi="Times New Roman"/>
        </w:rPr>
        <w:t xml:space="preserve"> средства, производится: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при передаче основных средств между ответственными лицами;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при поступлении основных средств в организацию.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2.5.9. В составе приспособлений и принадлежностей учитываются: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E244F7">
      <w:pPr>
        <w:ind w:firstLine="0"/>
        <w:rPr>
          <w:rFonts w:ascii="Times New Roman" w:hAnsi="Times New Roman"/>
        </w:rPr>
      </w:pPr>
      <w:bookmarkStart w:id="23" w:name="sub_359"/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25"/>
        <w:gridCol w:w="7604"/>
      </w:tblGrid>
      <w:tr w:rsidR="00E244F7">
        <w:tc>
          <w:tcPr>
            <w:tcW w:w="2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23"/>
          <w:p w:rsidR="00E244F7" w:rsidRDefault="001E26CD">
            <w:pPr>
              <w:pStyle w:val="aff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основных средств</w:t>
            </w:r>
          </w:p>
        </w:tc>
        <w:tc>
          <w:tcPr>
            <w:tcW w:w="7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44F7" w:rsidRDefault="001E26CD">
            <w:pPr>
              <w:pStyle w:val="aff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 приспособлений и принадлежностей</w:t>
            </w:r>
          </w:p>
        </w:tc>
      </w:tr>
      <w:tr w:rsidR="00E244F7">
        <w:tc>
          <w:tcPr>
            <w:tcW w:w="2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af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Средства вычислительной техники и связи</w:t>
            </w:r>
          </w:p>
        </w:tc>
        <w:tc>
          <w:tcPr>
            <w:tcW w:w="7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1E26CD">
            <w:pPr>
              <w:pStyle w:val="aff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сумки и чехлы для переносных компьютеров;</w:t>
            </w:r>
          </w:p>
          <w:p w:rsidR="00E244F7" w:rsidRDefault="001E26CD">
            <w:pPr>
              <w:pStyle w:val="aff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сумки для проекторов;</w:t>
            </w:r>
          </w:p>
          <w:p w:rsidR="00E244F7" w:rsidRDefault="001E26CD">
            <w:pPr>
              <w:pStyle w:val="aff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-зарядные устройства для сотовых телефонов, мобильных компьютеров;</w:t>
            </w:r>
          </w:p>
          <w:p w:rsidR="00E244F7" w:rsidRDefault="001E26CD">
            <w:pPr>
              <w:pStyle w:val="aff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внешние блоки питания для ноутбуков, моноблочных компьютеров;</w:t>
            </w:r>
          </w:p>
        </w:tc>
      </w:tr>
    </w:tbl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bookmarkStart w:id="24" w:name="sub_6364"/>
      <w:r>
        <w:rPr>
          <w:rStyle w:val="afe"/>
          <w:rFonts w:ascii="Times New Roman" w:hAnsi="Times New Roman"/>
          <w:b w:val="0"/>
          <w:bCs w:val="0"/>
          <w:color w:val="000000"/>
        </w:rPr>
        <w:t>2.6. Особенности учета единых функционирующих систем</w:t>
      </w:r>
    </w:p>
    <w:bookmarkEnd w:id="24"/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2.6.1. К единым функционирующим системам относятся: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t>- пожарная сигнализация;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t>- охранная сигнализация;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t>- кабельная система локальной вычислительной сети;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t>- телефонная сеть;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t>- "тревожная кнопка";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t>- иные (поименуйте) аналогичные системы, компоненты которых прикрепляются к стенам и (или) фундаменту здания (сооружения) и между собой соединяются кабельными линия</w:t>
      </w:r>
      <w:r>
        <w:rPr>
          <w:rStyle w:val="afe"/>
          <w:rFonts w:ascii="Times New Roman" w:hAnsi="Times New Roman"/>
          <w:b w:val="0"/>
          <w:bCs w:val="0"/>
          <w:color w:val="000000"/>
        </w:rPr>
        <w:t>ми или по радиочастотным каналам</w:t>
      </w:r>
      <w:r>
        <w:rPr>
          <w:rFonts w:ascii="Times New Roman" w:hAnsi="Times New Roman"/>
        </w:rPr>
        <w:t>.</w:t>
      </w:r>
    </w:p>
    <w:p w:rsidR="00E244F7" w:rsidRDefault="001E26CD">
      <w:pPr>
        <w:pStyle w:val="aff"/>
        <w:ind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(Основание: </w:t>
      </w:r>
      <w:r>
        <w:rPr>
          <w:rStyle w:val="afd"/>
          <w:rFonts w:ascii="Times New Roman" w:hAnsi="Times New Roman"/>
          <w:color w:val="000000"/>
          <w:sz w:val="24"/>
        </w:rPr>
        <w:t>п. 45</w:t>
      </w:r>
      <w:r>
        <w:rPr>
          <w:rFonts w:ascii="Times New Roman" w:hAnsi="Times New Roman"/>
          <w:sz w:val="24"/>
        </w:rPr>
        <w:t xml:space="preserve"> Инструкции N 157н, </w:t>
      </w:r>
      <w:r>
        <w:rPr>
          <w:rStyle w:val="afd"/>
          <w:rFonts w:ascii="Times New Roman" w:hAnsi="Times New Roman"/>
          <w:color w:val="000000"/>
          <w:sz w:val="24"/>
        </w:rPr>
        <w:t>п. 10</w:t>
      </w:r>
      <w:r>
        <w:rPr>
          <w:rFonts w:ascii="Times New Roman" w:hAnsi="Times New Roman"/>
          <w:sz w:val="24"/>
        </w:rPr>
        <w:t xml:space="preserve"> СГС "Основные средства")</w:t>
      </w:r>
    </w:p>
    <w:p w:rsidR="00E244F7" w:rsidRDefault="00E244F7">
      <w:pPr>
        <w:ind w:firstLine="0"/>
        <w:rPr>
          <w:rFonts w:ascii="Times New Roman" w:hAnsi="Times New Roman"/>
        </w:rPr>
      </w:pPr>
      <w:bookmarkStart w:id="25" w:name="sub_382"/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2.6.2. Единые функционирующие системы:</w:t>
      </w:r>
    </w:p>
    <w:bookmarkEnd w:id="25"/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не являются отдельными объектами основных средств (за исключением ситуаций, указанных в п. 4.8.4 настоящей Учетн</w:t>
      </w:r>
      <w:r>
        <w:rPr>
          <w:rFonts w:ascii="Times New Roman" w:hAnsi="Times New Roman"/>
        </w:rPr>
        <w:t>ой политики);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расходы на установку и расширение систем (включая приведение в состояние, пригодное к эксплуатации) не относятся на увеличение стоимости каких-либо основных средств.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Информация о смонтированной системе отражается с указанием даты ввода в эк</w:t>
      </w:r>
      <w:r>
        <w:rPr>
          <w:rFonts w:ascii="Times New Roman" w:hAnsi="Times New Roman"/>
        </w:rPr>
        <w:t>сплуатацию и конкретных помещений, оборудованных системой, в Инвентарной карточке соответствующего здания (сооружения), учитываемого в балансовом учете, в разделе "Индивидуальные характеристики".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2.6.3. Отдельные элементы единых функционирующих систем, соответствующие критериям отнесения к основным средствам, подлежат учету в составе основных средств согласно решению Комиссии по поступлению и выбытию активов.</w:t>
      </w:r>
    </w:p>
    <w:p w:rsidR="00E244F7" w:rsidRDefault="001E26CD">
      <w:pPr>
        <w:pStyle w:val="aff"/>
        <w:ind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(Основание: </w:t>
      </w:r>
      <w:r>
        <w:rPr>
          <w:rStyle w:val="afd"/>
          <w:rFonts w:ascii="Times New Roman" w:hAnsi="Times New Roman"/>
          <w:color w:val="000000"/>
          <w:sz w:val="24"/>
        </w:rPr>
        <w:t>п. 45</w:t>
      </w:r>
      <w:r>
        <w:rPr>
          <w:rFonts w:ascii="Times New Roman" w:hAnsi="Times New Roman"/>
          <w:sz w:val="24"/>
        </w:rPr>
        <w:t xml:space="preserve"> Инструкции N 157н, </w:t>
      </w:r>
      <w:r>
        <w:rPr>
          <w:rStyle w:val="afd"/>
          <w:rFonts w:ascii="Times New Roman" w:hAnsi="Times New Roman"/>
          <w:color w:val="000000"/>
          <w:sz w:val="24"/>
        </w:rPr>
        <w:t>п.</w:t>
      </w:r>
      <w:r>
        <w:rPr>
          <w:rStyle w:val="afd"/>
          <w:rFonts w:ascii="Times New Roman" w:hAnsi="Times New Roman"/>
          <w:color w:val="000000"/>
          <w:sz w:val="24"/>
        </w:rPr>
        <w:t xml:space="preserve"> 10</w:t>
      </w:r>
      <w:r>
        <w:rPr>
          <w:rFonts w:ascii="Times New Roman" w:hAnsi="Times New Roman"/>
          <w:sz w:val="24"/>
        </w:rPr>
        <w:t xml:space="preserve"> СГС "Основные средства")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2.6.4. Единые функционирующие системы признаются в учете самостоятельными объектами основных средств, если: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они получены от иных организаций бюджетной сферы (в т.ч. в результате реорганизации) в виде одного инвентарного объе</w:t>
      </w:r>
      <w:r>
        <w:rPr>
          <w:rFonts w:ascii="Times New Roman" w:hAnsi="Times New Roman"/>
        </w:rPr>
        <w:t>кта (единой системы);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- являются неотделимыми улучшениями в арендованные объекты;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согласно решению Комиссии по поступлению и выбытию активов система представляет собой комплекс объектов основных средств, признаваемых для целей бухгалтерского учета единым</w:t>
      </w:r>
      <w:r>
        <w:rPr>
          <w:rFonts w:ascii="Times New Roman" w:hAnsi="Times New Roman"/>
        </w:rPr>
        <w:t xml:space="preserve"> инвентарным объектом согласно положениям п. 4.1.7 настоящей Учетной политики.</w:t>
      </w:r>
    </w:p>
    <w:p w:rsidR="00E244F7" w:rsidRDefault="001E26CD">
      <w:pPr>
        <w:pStyle w:val="aff"/>
        <w:ind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(Основание: </w:t>
      </w:r>
      <w:r>
        <w:rPr>
          <w:rStyle w:val="afd"/>
          <w:rFonts w:ascii="Times New Roman" w:hAnsi="Times New Roman"/>
          <w:color w:val="000000"/>
          <w:sz w:val="24"/>
        </w:rPr>
        <w:t>п. 10</w:t>
      </w:r>
      <w:r>
        <w:rPr>
          <w:rFonts w:ascii="Times New Roman" w:hAnsi="Times New Roman"/>
          <w:sz w:val="24"/>
        </w:rPr>
        <w:t xml:space="preserve"> СГС "Основные средства", </w:t>
      </w:r>
      <w:r>
        <w:rPr>
          <w:rStyle w:val="afd"/>
          <w:rFonts w:ascii="Times New Roman" w:hAnsi="Times New Roman"/>
          <w:color w:val="000000"/>
          <w:sz w:val="24"/>
        </w:rPr>
        <w:t>письмо</w:t>
      </w:r>
      <w:r>
        <w:rPr>
          <w:rFonts w:ascii="Times New Roman" w:hAnsi="Times New Roman"/>
          <w:sz w:val="24"/>
        </w:rPr>
        <w:t> Минфина России от 29.01.2019 N 02-06-10/5107)</w:t>
      </w:r>
    </w:p>
    <w:p w:rsidR="00E244F7" w:rsidRDefault="00E244F7">
      <w:pPr>
        <w:ind w:firstLine="0"/>
        <w:rPr>
          <w:rFonts w:ascii="Times New Roman" w:hAnsi="Times New Roman"/>
          <w:color w:val="000000"/>
        </w:rPr>
      </w:pPr>
      <w:bookmarkStart w:id="26" w:name="sub_6365"/>
    </w:p>
    <w:p w:rsidR="00E244F7" w:rsidRDefault="001E26CD">
      <w:pPr>
        <w:ind w:firstLine="0"/>
        <w:rPr>
          <w:rFonts w:ascii="Times New Roman" w:hAnsi="Times New Roman"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t>2.7. Особенности учета объектов благоустройства</w:t>
      </w:r>
    </w:p>
    <w:bookmarkEnd w:id="26"/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2.7.1. К работам по благоустрой</w:t>
      </w:r>
      <w:r>
        <w:rPr>
          <w:rFonts w:ascii="Times New Roman" w:hAnsi="Times New Roman"/>
        </w:rPr>
        <w:t>ству территории относятся: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инженерная подготовка и обеспечение безопасности;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озеленение (в т.ч. разбивка газонов, клумб);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устройство покрытий (в т.ч. асфальтирование, укладка плитки, обустройство бордюров);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устройство освещения.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2.7.2. К элементам (объектам) благоустройства относятся: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декоративные, технические, планировочные, конструктивные устройства (в т.ч. ограждения, стоянки для автотранспорта, различные площадки);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растительные компоненты (газоны, клумбы, многолетние насаж</w:t>
      </w:r>
      <w:r>
        <w:rPr>
          <w:rFonts w:ascii="Times New Roman" w:hAnsi="Times New Roman"/>
        </w:rPr>
        <w:t>дения и т.д.);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различные виды оборудования и оформления (в т.ч. фонари уличного освещения);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малые архитектурные формы, некапитальные нестационарные сооружения (в т.ч. скамьи, фонтаны, детские площадки);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наружная реклама и информация, используемые как</w:t>
      </w:r>
      <w:r>
        <w:rPr>
          <w:rFonts w:ascii="Times New Roman" w:hAnsi="Times New Roman"/>
        </w:rPr>
        <w:t xml:space="preserve"> составные части благоустройства.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2.7.3. При принятии решения об учете объектов благоустройства Комиссия по поступлению и выбытию активов руководствуется следующими документами: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нормативными документами по бухгалтерскому учету организаций бюджетной сфер</w:t>
      </w:r>
      <w:r>
        <w:rPr>
          <w:rFonts w:ascii="Times New Roman" w:hAnsi="Times New Roman"/>
        </w:rPr>
        <w:t>ы;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 Сводом правил </w:t>
      </w:r>
      <w:r>
        <w:rPr>
          <w:rStyle w:val="afd"/>
          <w:rFonts w:ascii="Times New Roman" w:hAnsi="Times New Roman"/>
          <w:color w:val="000000"/>
        </w:rPr>
        <w:t>СП 82.13330.2016</w:t>
      </w:r>
      <w:r>
        <w:rPr>
          <w:rFonts w:ascii="Times New Roman" w:hAnsi="Times New Roman"/>
        </w:rPr>
        <w:t xml:space="preserve"> "Благоустройство территорий". Актуализированная редакция СНиП III-10-75 (утв. </w:t>
      </w:r>
      <w:r>
        <w:rPr>
          <w:rStyle w:val="afd"/>
          <w:rFonts w:ascii="Times New Roman" w:hAnsi="Times New Roman"/>
          <w:color w:val="000000"/>
        </w:rPr>
        <w:t>приказом</w:t>
      </w:r>
      <w:r>
        <w:rPr>
          <w:rFonts w:ascii="Times New Roman" w:hAnsi="Times New Roman"/>
        </w:rPr>
        <w:t xml:space="preserve"> Минстроя России от 16.12.2016 г. N 972/пр);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 Сводом правил </w:t>
      </w:r>
      <w:r>
        <w:rPr>
          <w:rStyle w:val="afd"/>
          <w:rFonts w:ascii="Times New Roman" w:hAnsi="Times New Roman"/>
          <w:color w:val="000000"/>
        </w:rPr>
        <w:t>СП 78.13330.2012</w:t>
      </w:r>
      <w:r>
        <w:rPr>
          <w:rFonts w:ascii="Times New Roman" w:hAnsi="Times New Roman"/>
        </w:rPr>
        <w:t xml:space="preserve"> "Сво</w:t>
      </w:r>
      <w:r>
        <w:rPr>
          <w:rFonts w:ascii="Times New Roman" w:hAnsi="Times New Roman"/>
        </w:rPr>
        <w:t xml:space="preserve">д правил. Автомобильные дороги. Актуализированная редакция СНиП 3.06.03-85" (утв. </w:t>
      </w:r>
      <w:r>
        <w:rPr>
          <w:rStyle w:val="afd"/>
          <w:rFonts w:ascii="Times New Roman" w:hAnsi="Times New Roman"/>
          <w:color w:val="000000"/>
        </w:rPr>
        <w:t>приказом</w:t>
      </w:r>
      <w:r>
        <w:rPr>
          <w:rFonts w:ascii="Times New Roman" w:hAnsi="Times New Roman"/>
        </w:rPr>
        <w:t xml:space="preserve"> Минрегиона России от 30.06.2012 N 272);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иными нормативными актами.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2.7.4. Все созданные элементы (объекты) учитываются как единый комплекс, имеющий один инвентарн</w:t>
      </w:r>
      <w:r>
        <w:rPr>
          <w:rFonts w:ascii="Times New Roman" w:hAnsi="Times New Roman"/>
        </w:rPr>
        <w:t>ый номер, если они имеют одинаковые функциональное назначение и срок полезного использования. В стоимости объекта учитываются затраты по благоустройству, подготовке и улучшению земельного участка. В Инвентарной карточке отражается информация по каждому эле</w:t>
      </w:r>
      <w:r>
        <w:rPr>
          <w:rFonts w:ascii="Times New Roman" w:hAnsi="Times New Roman"/>
        </w:rPr>
        <w:t>менту благоустройства, входящему в единый комплекс.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2.7.5. Каждый объект благоустройства учитывается в качестве отдельного инвентарного объекта, если объекты имеют разное функциональное назначение и (или) разный срок полезного использования.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2.7.6. Если </w:t>
      </w:r>
      <w:r>
        <w:rPr>
          <w:rFonts w:ascii="Times New Roman" w:hAnsi="Times New Roman"/>
        </w:rPr>
        <w:t>осуществление работ по благоустройству территории не привело к созданию нефинансовых активов, стоимость этих работ в полном объеме относится к расходам текущего финансового года.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Сведения о произведенных работах вносятся в Инвентарную карточку, которая вед</w:t>
      </w:r>
      <w:r>
        <w:rPr>
          <w:rFonts w:ascii="Times New Roman" w:hAnsi="Times New Roman"/>
        </w:rPr>
        <w:t>ется по соответствующему земельному участку и (или) по объекту недвижимости, находящемуся на соответствующем земельном участке.</w:t>
      </w:r>
    </w:p>
    <w:p w:rsidR="00E244F7" w:rsidRDefault="001E26CD">
      <w:pPr>
        <w:pStyle w:val="aff"/>
        <w:ind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(Основание: </w:t>
      </w:r>
      <w:r>
        <w:rPr>
          <w:rStyle w:val="afd"/>
          <w:rFonts w:ascii="Times New Roman" w:hAnsi="Times New Roman"/>
          <w:color w:val="000000"/>
          <w:sz w:val="24"/>
        </w:rPr>
        <w:t>письмо</w:t>
      </w:r>
      <w:r>
        <w:rPr>
          <w:rFonts w:ascii="Times New Roman" w:hAnsi="Times New Roman"/>
          <w:sz w:val="24"/>
        </w:rPr>
        <w:t xml:space="preserve"> Минфина России от 23.09.2013 N 02-06-10/39403)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bookmarkStart w:id="27" w:name="sub_29"/>
      <w:r>
        <w:rPr>
          <w:rStyle w:val="afe"/>
          <w:rFonts w:ascii="Times New Roman" w:hAnsi="Times New Roman"/>
          <w:b w:val="0"/>
          <w:bCs w:val="0"/>
          <w:color w:val="000000"/>
        </w:rPr>
        <w:t>2.8. Организация учета основных средств</w:t>
      </w:r>
    </w:p>
    <w:bookmarkEnd w:id="27"/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2.8.1. Учет введенны</w:t>
      </w:r>
      <w:r>
        <w:rPr>
          <w:rFonts w:ascii="Times New Roman" w:hAnsi="Times New Roman"/>
        </w:rPr>
        <w:t xml:space="preserve">х в эксплуатацию объектов стоимостью до 10 000 рублей включительно осуществляется на забалансовом </w:t>
      </w:r>
      <w:r>
        <w:rPr>
          <w:rStyle w:val="afd"/>
          <w:rFonts w:ascii="Times New Roman" w:hAnsi="Times New Roman"/>
          <w:color w:val="000000"/>
        </w:rPr>
        <w:t>счете 21</w:t>
      </w:r>
      <w:r>
        <w:rPr>
          <w:rFonts w:ascii="Times New Roman" w:hAnsi="Times New Roman"/>
        </w:rPr>
        <w:t xml:space="preserve"> "Основные средства в эксплуатации":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t>- по балансовой стоимости введенного в эксплуатацию объекта</w:t>
      </w:r>
      <w:r>
        <w:rPr>
          <w:rFonts w:ascii="Times New Roman" w:hAnsi="Times New Roman"/>
          <w:b/>
          <w:bCs/>
        </w:rPr>
        <w:t>.</w:t>
      </w:r>
    </w:p>
    <w:p w:rsidR="00E244F7" w:rsidRDefault="001E26CD">
      <w:pPr>
        <w:pStyle w:val="aff"/>
        <w:ind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(Основание: </w:t>
      </w:r>
      <w:r>
        <w:rPr>
          <w:rStyle w:val="afd"/>
          <w:rFonts w:ascii="Times New Roman" w:hAnsi="Times New Roman"/>
          <w:color w:val="000000"/>
          <w:sz w:val="24"/>
        </w:rPr>
        <w:t>п. 373</w:t>
      </w:r>
      <w:r>
        <w:rPr>
          <w:rFonts w:ascii="Times New Roman" w:hAnsi="Times New Roman"/>
          <w:sz w:val="24"/>
        </w:rPr>
        <w:t xml:space="preserve"> Инструкции N 157н, </w:t>
      </w:r>
      <w:r>
        <w:rPr>
          <w:rStyle w:val="afd"/>
          <w:rFonts w:ascii="Times New Roman" w:hAnsi="Times New Roman"/>
          <w:color w:val="000000"/>
          <w:sz w:val="24"/>
        </w:rPr>
        <w:t>пп. "б" п. 39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СГС "Основные средства")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2.8.2. Начисление амортизации по основным средствам осуществляется ежемесячно и отражается последним днем календарного месяца, за который она начисляется, в Ведомости начисления амортизации (</w:t>
      </w:r>
      <w:r>
        <w:rPr>
          <w:rStyle w:val="afd"/>
          <w:rFonts w:ascii="Times New Roman" w:hAnsi="Times New Roman"/>
          <w:color w:val="000000"/>
        </w:rPr>
        <w:t>Приложение</w:t>
      </w:r>
      <w:r>
        <w:rPr>
          <w:rFonts w:ascii="Times New Roman" w:hAnsi="Times New Roman"/>
        </w:rPr>
        <w:t xml:space="preserve"> № 2).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2.8.3. Под консерваци</w:t>
      </w:r>
      <w:r>
        <w:rPr>
          <w:rFonts w:ascii="Times New Roman" w:hAnsi="Times New Roman"/>
        </w:rPr>
        <w:t>ей понимается прекращение эксплуатации объекта на срок более</w:t>
      </w:r>
      <w:r>
        <w:rPr>
          <w:rStyle w:val="afe"/>
          <w:rFonts w:ascii="Times New Roman" w:hAnsi="Times New Roman"/>
          <w:color w:val="000000"/>
        </w:rPr>
        <w:t xml:space="preserve"> </w:t>
      </w:r>
      <w:r>
        <w:rPr>
          <w:rStyle w:val="afe"/>
          <w:rFonts w:ascii="Times New Roman" w:hAnsi="Times New Roman"/>
          <w:b w:val="0"/>
          <w:bCs w:val="0"/>
          <w:color w:val="000000"/>
        </w:rPr>
        <w:t>трех</w:t>
      </w:r>
      <w:r>
        <w:rPr>
          <w:rFonts w:ascii="Times New Roman" w:hAnsi="Times New Roman"/>
        </w:rPr>
        <w:t xml:space="preserve"> месяцев с возможностью возобновления использования.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Перевод объектов основных средств на консервацию осуществляется на основании приказа руководителя учреждения, которым устанавливается</w:t>
      </w:r>
      <w:r>
        <w:rPr>
          <w:rFonts w:ascii="Times New Roman" w:hAnsi="Times New Roman"/>
        </w:rPr>
        <w:t> конкретный срок консервации и проводимые мероприятия.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К приказу прилагается обоснование экономической целесообразности консервации.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После осуществления предусмотренных приказом мероприятий Комиссия по поступлению и выбытию активов учреждения оформляет Акт</w:t>
      </w:r>
      <w:r>
        <w:rPr>
          <w:rFonts w:ascii="Times New Roman" w:hAnsi="Times New Roman"/>
        </w:rPr>
        <w:t xml:space="preserve"> о консервации объекта основных средств (ф.0510433), утверждаемый руководителем учреждения. В Акте указываются наименование, инвентарный номер объекта, его первоначальная (балансовая) стоимость, сумма начисленной амортизации, а также сведения о причинах ко</w:t>
      </w:r>
      <w:r>
        <w:rPr>
          <w:rFonts w:ascii="Times New Roman" w:hAnsi="Times New Roman"/>
        </w:rPr>
        <w:t>нсервации и сроке консервации.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Информация о консервации (расконсервация) объекта основных средств вносится в </w:t>
      </w:r>
      <w:r>
        <w:rPr>
          <w:rStyle w:val="afd"/>
          <w:rFonts w:ascii="Times New Roman" w:hAnsi="Times New Roman"/>
          <w:color w:val="000000"/>
        </w:rPr>
        <w:t>Инвентарную карточку</w:t>
      </w:r>
      <w:r>
        <w:rPr>
          <w:rFonts w:ascii="Times New Roman" w:hAnsi="Times New Roman"/>
        </w:rPr>
        <w:t xml:space="preserve"> объекта (без отражения по соответствующим счетам аналитического учета счета </w:t>
      </w:r>
      <w:r>
        <w:rPr>
          <w:rStyle w:val="afd"/>
          <w:rFonts w:ascii="Times New Roman" w:hAnsi="Times New Roman"/>
          <w:color w:val="000000"/>
        </w:rPr>
        <w:t>0 101 00 000</w:t>
      </w:r>
      <w:r>
        <w:rPr>
          <w:rFonts w:ascii="Times New Roman" w:hAnsi="Times New Roman"/>
        </w:rPr>
        <w:t xml:space="preserve"> "Основные средства").</w:t>
      </w:r>
    </w:p>
    <w:p w:rsidR="00E244F7" w:rsidRDefault="00E244F7">
      <w:pPr>
        <w:ind w:firstLine="0"/>
        <w:rPr>
          <w:rFonts w:ascii="Times New Roman" w:hAnsi="Times New Roman"/>
        </w:rPr>
      </w:pPr>
      <w:bookmarkStart w:id="28" w:name="sub_3108"/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2.8.4. Решение</w:t>
      </w:r>
      <w:r>
        <w:rPr>
          <w:rFonts w:ascii="Times New Roman" w:hAnsi="Times New Roman"/>
        </w:rPr>
        <w:t xml:space="preserve"> об отнесении капитальных вложений в объект операционной аренды к неотделимым (отделимым) улучшениям принимается коллегиальным решением, основанным на профессиональном суждении квалифицированных специалистов, входящих в состав Комиссии по поступлению и выб</w:t>
      </w:r>
      <w:r>
        <w:rPr>
          <w:rFonts w:ascii="Times New Roman" w:hAnsi="Times New Roman"/>
        </w:rPr>
        <w:t>ытию активов.</w:t>
      </w:r>
    </w:p>
    <w:bookmarkEnd w:id="28"/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Стоимость работ по восстановлению (поддержанию) характеристик арендованного объекта не учитывается в составе капитальных вложений, а относится на расходы.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2.8.5. При безв</w:t>
      </w:r>
      <w:r>
        <w:rPr>
          <w:rFonts w:ascii="Times New Roman" w:hAnsi="Times New Roman"/>
        </w:rPr>
        <w:t xml:space="preserve">озмездном поступлении от иной организации бюджетной сферы основных средств стоимостью менее 10 000 рублей включительно с начисленной амортизацией (за исключением объектов библиотечного фонда и поступления в связи с реорганизацией) отражается их выбытие на </w:t>
      </w:r>
      <w:r>
        <w:rPr>
          <w:rFonts w:ascii="Times New Roman" w:hAnsi="Times New Roman"/>
        </w:rPr>
        <w:t>забалансовый счет 21 при вводе в эксплуатацию. Списание балансовой стоимости и начисленной амортизации отражается бухгалтерскими записями: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Дебет 1 104 ХХ 411 Кредит 1 101 ХХ 410 - списана балансовая стоимость объекта на сумму начисленной амортизации;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Дебет</w:t>
      </w:r>
      <w:r>
        <w:rPr>
          <w:rFonts w:ascii="Times New Roman" w:hAnsi="Times New Roman"/>
        </w:rPr>
        <w:t xml:space="preserve"> 1 401 20 271 Кредит 1 101 ХХ 410 - списана остаточная стоимость объекта (при наличии).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2.8.6. При безвозмездном поступлении от иной организации бюджетной сферы основных средств стоимостью от 10 000 рублей до 100 000 рублей включительно с остаточной стоим</w:t>
      </w:r>
      <w:r>
        <w:rPr>
          <w:rFonts w:ascii="Times New Roman" w:hAnsi="Times New Roman"/>
        </w:rPr>
        <w:t>остью (за исключением поступления в связи с реорганизацией) отражается доначисление амортизации до 100 000 рублей при выдаче объекта в эксплуатацию.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</w:pPr>
      <w:r>
        <w:rPr>
          <w:rFonts w:ascii="Times New Roman" w:hAnsi="Times New Roman"/>
        </w:rPr>
        <w:t>2.8.7. В случае поступления основных средств стоимостью свыше 100 000 рублей по централизованному снабжени</w:t>
      </w:r>
      <w:r>
        <w:rPr>
          <w:rFonts w:ascii="Times New Roman" w:hAnsi="Times New Roman"/>
        </w:rPr>
        <w:t>ю производится единовременный расчет и доначисление амортизации за период от начала фактического использования объектов до постановки их на балансовый учет</w:t>
      </w:r>
      <w:r>
        <w:t>.</w:t>
      </w:r>
    </w:p>
    <w:p w:rsidR="00E244F7" w:rsidRDefault="00E244F7">
      <w:pPr>
        <w:ind w:firstLine="0"/>
      </w:pPr>
    </w:p>
    <w:p w:rsidR="00E244F7" w:rsidRDefault="001E26CD">
      <w:pPr>
        <w:ind w:firstLine="0"/>
        <w:rPr>
          <w:b/>
        </w:rPr>
      </w:pPr>
      <w:r>
        <w:rPr>
          <w:b/>
        </w:rPr>
        <w:lastRenderedPageBreak/>
        <w:t>3. Нематериальные активы</w:t>
      </w:r>
    </w:p>
    <w:p w:rsidR="00E244F7" w:rsidRDefault="00E244F7">
      <w:pPr>
        <w:ind w:firstLine="0"/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3.1. Инвентарный номер нематериального актива состоит из </w:t>
      </w:r>
      <w:r>
        <w:rPr>
          <w:rStyle w:val="afe"/>
          <w:rFonts w:ascii="Times New Roman" w:hAnsi="Times New Roman"/>
          <w:b w:val="0"/>
          <w:color w:val="000000" w:themeColor="text1"/>
        </w:rPr>
        <w:t>12</w:t>
      </w:r>
      <w:r>
        <w:rPr>
          <w:rFonts w:ascii="Times New Roman" w:hAnsi="Times New Roman"/>
        </w:rPr>
        <w:t xml:space="preserve"> знаков и фор</w:t>
      </w:r>
      <w:r>
        <w:rPr>
          <w:rFonts w:ascii="Times New Roman" w:hAnsi="Times New Roman"/>
        </w:rPr>
        <w:t>мируется по следующим правилам: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t>- инвентарный номер представляет собой порядковый номер нематериального актива, перед порядковым номером проставляется необходимое количество нулей для получения установленного общего количества знаков.</w:t>
      </w:r>
    </w:p>
    <w:p w:rsidR="00E244F7" w:rsidRDefault="001E26CD">
      <w:pPr>
        <w:pStyle w:val="aff"/>
        <w:ind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(Основание: </w:t>
      </w:r>
      <w:r>
        <w:rPr>
          <w:rStyle w:val="afd"/>
          <w:rFonts w:ascii="Times New Roman" w:hAnsi="Times New Roman"/>
          <w:color w:val="000000"/>
          <w:sz w:val="24"/>
        </w:rPr>
        <w:t>п. 9</w:t>
      </w:r>
      <w:r>
        <w:rPr>
          <w:rFonts w:ascii="Times New Roman" w:hAnsi="Times New Roman"/>
          <w:sz w:val="24"/>
        </w:rPr>
        <w:t xml:space="preserve"> СГС </w:t>
      </w:r>
      <w:r>
        <w:rPr>
          <w:rFonts w:ascii="Times New Roman" w:hAnsi="Times New Roman"/>
          <w:sz w:val="24"/>
        </w:rPr>
        <w:t xml:space="preserve">"Нематериальные активы", </w:t>
      </w:r>
      <w:r>
        <w:rPr>
          <w:rStyle w:val="afd"/>
          <w:rFonts w:ascii="Times New Roman" w:hAnsi="Times New Roman"/>
          <w:color w:val="000000"/>
          <w:sz w:val="24"/>
        </w:rPr>
        <w:t>п. 59</w:t>
      </w:r>
      <w:r>
        <w:rPr>
          <w:rFonts w:ascii="Times New Roman" w:hAnsi="Times New Roman"/>
          <w:sz w:val="24"/>
        </w:rPr>
        <w:t xml:space="preserve"> Инструкции N 157н).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3.2. Начисление амортизации объектов нематериальных активов осуществляется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t>- линейным методом.</w:t>
      </w:r>
    </w:p>
    <w:p w:rsidR="00E244F7" w:rsidRDefault="001E26CD">
      <w:pPr>
        <w:pStyle w:val="aff"/>
        <w:ind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(Основание: </w:t>
      </w:r>
      <w:r>
        <w:rPr>
          <w:rStyle w:val="afd"/>
          <w:rFonts w:ascii="Times New Roman" w:hAnsi="Times New Roman"/>
          <w:color w:val="000000"/>
          <w:sz w:val="24"/>
        </w:rPr>
        <w:t>п. 30</w:t>
      </w:r>
      <w:r>
        <w:rPr>
          <w:rFonts w:ascii="Times New Roman" w:hAnsi="Times New Roman"/>
          <w:sz w:val="24"/>
        </w:rPr>
        <w:t xml:space="preserve"> СГС "Нематериальные активы").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3.3. Возможность установления срока полезного использования по объектам, входящим в подгруппу "Нематериальные активы с неопределенным сроком полезного использования", осуществляется при проведении ежегодной инвентаризации в целях составления бюджетной отче</w:t>
      </w:r>
      <w:r>
        <w:rPr>
          <w:rFonts w:ascii="Times New Roman" w:hAnsi="Times New Roman"/>
        </w:rPr>
        <w:t>тности.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В случае установления сроков полезного использования для нематериальных активов, входящих в подгруппу "Нематериальные активы с неопределенным сроком полезного использования", способ начисления амортизации по ним определяется согласно положениям нас</w:t>
      </w:r>
      <w:r>
        <w:rPr>
          <w:rFonts w:ascii="Times New Roman" w:hAnsi="Times New Roman"/>
        </w:rPr>
        <w:t>тоящей учетной политики, если иной способ не будет выбран инвентаризационной комиссией.</w:t>
      </w:r>
    </w:p>
    <w:p w:rsidR="00E244F7" w:rsidRDefault="001E26CD">
      <w:pPr>
        <w:pStyle w:val="aff"/>
        <w:ind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(Основание: </w:t>
      </w:r>
      <w:r>
        <w:rPr>
          <w:rStyle w:val="afd"/>
          <w:rFonts w:ascii="Times New Roman" w:hAnsi="Times New Roman"/>
          <w:color w:val="000000"/>
          <w:sz w:val="24"/>
        </w:rPr>
        <w:t>п.п. 35,</w:t>
      </w:r>
      <w:r>
        <w:rPr>
          <w:rFonts w:ascii="Times New Roman" w:hAnsi="Times New Roman"/>
          <w:sz w:val="24"/>
        </w:rPr>
        <w:t xml:space="preserve"> </w:t>
      </w:r>
      <w:r>
        <w:rPr>
          <w:rStyle w:val="afd"/>
          <w:rFonts w:ascii="Times New Roman" w:hAnsi="Times New Roman"/>
          <w:color w:val="000000"/>
          <w:sz w:val="24"/>
        </w:rPr>
        <w:t>36</w:t>
      </w:r>
      <w:r>
        <w:rPr>
          <w:rFonts w:ascii="Times New Roman" w:hAnsi="Times New Roman"/>
          <w:sz w:val="24"/>
        </w:rPr>
        <w:t xml:space="preserve"> СГС "Нематериальные активы").</w:t>
      </w:r>
    </w:p>
    <w:p w:rsidR="00E244F7" w:rsidRDefault="00E244F7">
      <w:pPr>
        <w:pStyle w:val="aff"/>
        <w:ind w:firstLine="0"/>
        <w:rPr>
          <w:rFonts w:ascii="Times New Roman" w:hAnsi="Times New Roman"/>
          <w:sz w:val="24"/>
        </w:rPr>
      </w:pPr>
    </w:p>
    <w:p w:rsidR="00E244F7" w:rsidRDefault="001E26CD">
      <w:pPr>
        <w:pStyle w:val="aff"/>
        <w:ind w:firstLine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4. Амортизация</w:t>
      </w:r>
    </w:p>
    <w:p w:rsidR="00E244F7" w:rsidRDefault="00E244F7">
      <w:pPr>
        <w:pStyle w:val="aff"/>
        <w:ind w:firstLine="0"/>
        <w:rPr>
          <w:rFonts w:ascii="Times New Roman" w:hAnsi="Times New Roman"/>
          <w:sz w:val="24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4.1. Начисление амортизации объектов основных средств осуществляется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t>- линейным методом;</w:t>
      </w:r>
    </w:p>
    <w:p w:rsidR="00E244F7" w:rsidRDefault="001E26CD">
      <w:pPr>
        <w:pStyle w:val="aff"/>
        <w:ind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(Основан</w:t>
      </w:r>
      <w:r>
        <w:rPr>
          <w:rFonts w:ascii="Times New Roman" w:hAnsi="Times New Roman"/>
          <w:sz w:val="24"/>
        </w:rPr>
        <w:t xml:space="preserve">ие: </w:t>
      </w:r>
      <w:r>
        <w:rPr>
          <w:rStyle w:val="afd"/>
          <w:rFonts w:ascii="Times New Roman" w:hAnsi="Times New Roman"/>
          <w:color w:val="000000"/>
          <w:sz w:val="24"/>
        </w:rPr>
        <w:t>п.п. 36</w:t>
      </w:r>
      <w:r>
        <w:rPr>
          <w:rFonts w:ascii="Times New Roman" w:hAnsi="Times New Roman"/>
          <w:sz w:val="24"/>
        </w:rPr>
        <w:t xml:space="preserve">, </w:t>
      </w:r>
      <w:r>
        <w:rPr>
          <w:rStyle w:val="afd"/>
          <w:rFonts w:ascii="Times New Roman" w:hAnsi="Times New Roman"/>
          <w:color w:val="000000"/>
          <w:sz w:val="24"/>
        </w:rPr>
        <w:t>37</w:t>
      </w:r>
      <w:r>
        <w:rPr>
          <w:rFonts w:ascii="Times New Roman" w:hAnsi="Times New Roman"/>
          <w:sz w:val="24"/>
        </w:rPr>
        <w:t xml:space="preserve"> СГС "Основные средства").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4.2. На структурную часть объекта основны</w:t>
      </w:r>
      <w:r>
        <w:rPr>
          <w:rFonts w:ascii="Times New Roman" w:hAnsi="Times New Roman"/>
        </w:rPr>
        <w:t xml:space="preserve">х средств, для которой Комиссия по поступлению и выбытию активов установила срок полезного использования, отличающийся от срока использования остальных частей объекта, амортизация начисляется отдельно. Стоимость этой части профильная Комиссия определяет в </w:t>
      </w:r>
      <w:r>
        <w:rPr>
          <w:rFonts w:ascii="Times New Roman" w:hAnsi="Times New Roman"/>
        </w:rPr>
        <w:t>соответствующем протоколе.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Если срок полезного использования и метод начисления амортизации структурной части объекта основных средств - единицы учета - совпадает со сроком полезного использования и методом начисления амортизации иных частей, составляющих </w:t>
      </w:r>
      <w:r>
        <w:rPr>
          <w:rFonts w:ascii="Times New Roman" w:hAnsi="Times New Roman"/>
        </w:rPr>
        <w:t xml:space="preserve">совместно со структурной частью объекта основных средств единый объект имущества, 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t>- при определении суммы амортизации такой части они объединяются.</w:t>
      </w:r>
    </w:p>
    <w:p w:rsidR="00E244F7" w:rsidRDefault="001E26CD">
      <w:pPr>
        <w:pStyle w:val="aff"/>
        <w:ind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(Основание: </w:t>
      </w:r>
      <w:r>
        <w:rPr>
          <w:rStyle w:val="afd"/>
          <w:rFonts w:ascii="Times New Roman" w:hAnsi="Times New Roman"/>
          <w:color w:val="000000"/>
          <w:sz w:val="24"/>
        </w:rPr>
        <w:t>п. 40</w:t>
      </w:r>
      <w:r>
        <w:rPr>
          <w:rFonts w:ascii="Times New Roman" w:hAnsi="Times New Roman"/>
          <w:sz w:val="24"/>
        </w:rPr>
        <w:t xml:space="preserve"> СГС "Основные средства").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bookmarkStart w:id="29" w:name="sub_53"/>
      <w:r>
        <w:rPr>
          <w:rFonts w:ascii="Times New Roman" w:hAnsi="Times New Roman"/>
        </w:rPr>
        <w:t xml:space="preserve">4.3. По результатам достройки, дооборудования, реконструкции, </w:t>
      </w:r>
      <w:r>
        <w:rPr>
          <w:rFonts w:ascii="Times New Roman" w:hAnsi="Times New Roman"/>
        </w:rPr>
        <w:t>модернизации объекта основных средств профильной комиссией учреждения принимаются решения:</w:t>
      </w:r>
    </w:p>
    <w:bookmarkEnd w:id="29"/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1) о пересмотре срока полезного использования объекта в связи с изменением первоначально принятых нормативных показателей его функционирования;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2) об отсутствии осно</w:t>
      </w:r>
      <w:r>
        <w:rPr>
          <w:rFonts w:ascii="Times New Roman" w:hAnsi="Times New Roman"/>
        </w:rPr>
        <w:t>ваний для пересмотра срока полезного использования объекта.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Если после модернизации (достройки, дооборудования, реконструкции) объекта срок его полезного использования не изменяется, то начисление амортизации в целях бюджетного учета при линейном способе п</w:t>
      </w:r>
      <w:r>
        <w:rPr>
          <w:rFonts w:ascii="Times New Roman" w:hAnsi="Times New Roman"/>
        </w:rPr>
        <w:t>роизводится исходя из остаточной стоимости, увеличенной на затраты по модернизации (достройке, дооборудованию, реконструкции), и оставшегося срока полезного использования.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4.4. При переоценке основных средств, в том числе предназначенных для продажи или </w:t>
      </w:r>
      <w:r>
        <w:rPr>
          <w:rFonts w:ascii="Times New Roman" w:hAnsi="Times New Roman"/>
        </w:rPr>
        <w:lastRenderedPageBreak/>
        <w:t>п</w:t>
      </w:r>
      <w:r>
        <w:rPr>
          <w:rFonts w:ascii="Times New Roman" w:hAnsi="Times New Roman"/>
        </w:rPr>
        <w:t>ередаче организациям небюджетной сферы, накопленная амортизация, исчисленная на дату переоценки: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t>- вычитается из балансовой стоимости объекта основных средств, после чего остаточная стоимость пересчитывается до переоцененной (справедливой) стоимости актива</w:t>
      </w:r>
      <w:r>
        <w:rPr>
          <w:rStyle w:val="afe"/>
          <w:rFonts w:ascii="Times New Roman" w:hAnsi="Times New Roman"/>
          <w:b w:val="0"/>
          <w:bCs w:val="0"/>
          <w:color w:val="000000"/>
        </w:rPr>
        <w:t>. При этом в бухгалтерском учете накопленная амортизация, исчисленная до проведения переоценки, относится на уменьшение балансовой стоимости объекта по кредиту соответствующего балансового счета учета основного средства. По дебету этого счета отражается ув</w:t>
      </w:r>
      <w:r>
        <w:rPr>
          <w:rStyle w:val="afe"/>
          <w:rFonts w:ascii="Times New Roman" w:hAnsi="Times New Roman"/>
          <w:b w:val="0"/>
          <w:bCs w:val="0"/>
          <w:color w:val="000000"/>
        </w:rPr>
        <w:t>еличение остаточной стоимости объекта основных средств на суммы дооценки ее до справедливой стоимости</w:t>
      </w:r>
      <w:r>
        <w:rPr>
          <w:rFonts w:ascii="Times New Roman" w:hAnsi="Times New Roman"/>
          <w:b/>
          <w:bCs/>
        </w:rPr>
        <w:t>.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В аналогичном порядке отражается переоценка имущества казны, предназначенного для продажи или передачи организациям небюджетной сферы.</w:t>
      </w:r>
    </w:p>
    <w:p w:rsidR="00E244F7" w:rsidRDefault="001E26CD">
      <w:pPr>
        <w:pStyle w:val="aff"/>
        <w:ind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(Основание: </w:t>
      </w:r>
      <w:r>
        <w:rPr>
          <w:rStyle w:val="afd"/>
          <w:rFonts w:ascii="Times New Roman" w:hAnsi="Times New Roman"/>
          <w:color w:val="000000"/>
          <w:sz w:val="24"/>
        </w:rPr>
        <w:t>п. 41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СГС "Основные средства")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4.5. Начисление амортизации по неотделимым улучшениям в объекты операционной аренды производится исходя из: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t>- срока действия договора аренды.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4.6. Особенности начисления амортизации после изменения стоимости основного средства.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4.6.1. Если стоимость основного средства в результате дооборудования (модернизации, замены частей) увеличилась и превысила 100 тыс. руб. (в том числе по основным средствам с амортизацией, начисленной в размере 100%), то на остаточную стоимость амортизация </w:t>
      </w:r>
      <w:r>
        <w:rPr>
          <w:rFonts w:ascii="Times New Roman" w:hAnsi="Times New Roman"/>
        </w:rPr>
        <w:t>начисляется  выбранным способом исходя из оставшегося срока полезного использования начиная с месяца, в котором увеличилась стоимость основного средства. Если срок полезного использования истек и не пересматривается, то амортизация на основное средство дон</w:t>
      </w:r>
      <w:r>
        <w:rPr>
          <w:rFonts w:ascii="Times New Roman" w:hAnsi="Times New Roman"/>
        </w:rPr>
        <w:t>ачисляется единовременно до 100%.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4.6.2. Если несколько основных средств стоимостью не более 100 тыс. руб., по которым амортизация была начислена в размере 100%, объединяются в одно, то перерасчет амортизации не производится и составляет 100%.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4.6.3. В с</w:t>
      </w:r>
      <w:r>
        <w:rPr>
          <w:rFonts w:ascii="Times New Roman" w:hAnsi="Times New Roman"/>
        </w:rPr>
        <w:t xml:space="preserve">лучае разукомплектации основного средства его выбытие и принятие к учету новых объектов основных средств отражается в учете одновременно и не приводит к изменению общей стоимости основных средств и ранее начисленной амортизации. При этом ранее начисленная </w:t>
      </w:r>
      <w:r>
        <w:rPr>
          <w:rFonts w:ascii="Times New Roman" w:hAnsi="Times New Roman"/>
        </w:rPr>
        <w:t>амортизация распределяется между принятыми к учету в результате разукомплектации объектами основных средств пропорционально их балансовой стоимости.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Далее производятся следующие действия с полученными от разукомплектации основными средствами: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 на полученн</w:t>
      </w:r>
      <w:r>
        <w:rPr>
          <w:rFonts w:ascii="Times New Roman" w:hAnsi="Times New Roman"/>
        </w:rPr>
        <w:t>ые в результате разукомплектации объекты стоимостью от 10 тыс. руб. до 100 тыс. руб. включительно амортизация доначисляется единовременно при наличии остаточной стоимости, объекты стоимостью до 10 тыс. руб. включительно списываются с балансового учета с од</w:t>
      </w:r>
      <w:r>
        <w:rPr>
          <w:rFonts w:ascii="Times New Roman" w:hAnsi="Times New Roman"/>
        </w:rPr>
        <w:t>новременным отражением на забалансовом счете 21 "Основные средства стоимостью до 10 000 рублей включительно в эксплуатации".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4.6.4. В случае частичной ликвидации основного средства стоимостью свыше 100 тыс. руб. с остаточной стоимостью: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 возможны следующие варианты дальнейших действий с амортизацией. Если стоимость объекта осталась свыше 100 тыс. руб., то амортизация продолжает начисляться выбранным способом. Если в результате частичной ликвидации стоимость составила от 10 тыс. руб. до 1</w:t>
      </w:r>
      <w:r>
        <w:rPr>
          <w:rFonts w:ascii="Times New Roman" w:hAnsi="Times New Roman"/>
        </w:rPr>
        <w:t>00 тыс. руб. включительно, амортизация доначисляется единовременно по окончании мероприятий, связанных с частичной ликвидацией.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lastRenderedPageBreak/>
        <w:t>4.6.5. При частичной ликвидации основного средства с остаточной стоимостью амортизация по выбывающей части рассчитывается пропо</w:t>
      </w:r>
      <w:r>
        <w:rPr>
          <w:rFonts w:ascii="Times New Roman" w:hAnsi="Times New Roman"/>
        </w:rPr>
        <w:t>рционально стоимости выбывающей части относительно стоимости всего инвентарного объекта.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4.7. При передаче основных средств, нематериальных активов, прав пользования нематериальными активами, по которым продолжает начисляться амортизация, амортизация за м</w:t>
      </w:r>
      <w:r>
        <w:rPr>
          <w:rFonts w:ascii="Times New Roman" w:hAnsi="Times New Roman"/>
        </w:rPr>
        <w:t>есяц, в котором производится передача объектов, производится датой оформления Акта о приеме-передачи на основании Ведомости начисления амортизации.</w:t>
      </w:r>
    </w:p>
    <w:p w:rsidR="00E244F7" w:rsidRDefault="00E244F7">
      <w:pPr>
        <w:contextualSpacing/>
        <w:rPr>
          <w:rFonts w:ascii="Times New Roman" w:hAnsi="Times New Roman"/>
          <w:lang w:eastAsia="en-US"/>
        </w:rPr>
      </w:pPr>
    </w:p>
    <w:p w:rsidR="00E244F7" w:rsidRDefault="001E26CD">
      <w:pPr>
        <w:contextualSpacing/>
        <w:rPr>
          <w:rFonts w:ascii="Times New Roman" w:hAnsi="Times New Roman"/>
          <w:b/>
          <w:lang w:eastAsia="en-US"/>
        </w:rPr>
      </w:pPr>
      <w:r>
        <w:rPr>
          <w:rFonts w:ascii="Times New Roman" w:hAnsi="Times New Roman"/>
          <w:b/>
          <w:lang w:eastAsia="en-US"/>
        </w:rPr>
        <w:t>5. Материальные запасы</w:t>
      </w:r>
    </w:p>
    <w:p w:rsidR="00E244F7" w:rsidRDefault="00E244F7">
      <w:pPr>
        <w:contextualSpacing/>
        <w:rPr>
          <w:rFonts w:ascii="Times New Roman" w:hAnsi="Times New Roman"/>
          <w:lang w:eastAsia="en-US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 5.1. Группировка материальных запасов по сходным характеристикам осуществлена след</w:t>
      </w:r>
      <w:r>
        <w:rPr>
          <w:rFonts w:ascii="Times New Roman" w:hAnsi="Times New Roman"/>
        </w:rPr>
        <w:t>ующим образом: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t>- материалы: "медикаменты и перевязочные средства", "продукты питания", "горюче-смазочные материалы", "строительные материалы", "мягкий инвентарь", "хозяйственные товары"</w:t>
      </w:r>
      <w:r>
        <w:rPr>
          <w:rFonts w:ascii="Times New Roman" w:hAnsi="Times New Roman"/>
          <w:bCs/>
        </w:rPr>
        <w:t>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t>- готовая продукция;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t>- биологическая продукция: "животноводство", "ра</w:t>
      </w:r>
      <w:r>
        <w:rPr>
          <w:rStyle w:val="afe"/>
          <w:rFonts w:ascii="Times New Roman" w:hAnsi="Times New Roman"/>
          <w:b w:val="0"/>
          <w:bCs w:val="0"/>
          <w:color w:val="000000"/>
        </w:rPr>
        <w:t>стениеводство","иная (укажите какая)";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t>- товары;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t>- иные материальные запасы;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t>- материальные ценности для реализации полномочий: приобретенные (созданные) в целях обеспечения техническими средствами реабилитации, лекарственными средствами, лекарственными пр</w:t>
      </w:r>
      <w:r>
        <w:rPr>
          <w:rStyle w:val="afe"/>
          <w:rFonts w:ascii="Times New Roman" w:hAnsi="Times New Roman"/>
          <w:b w:val="0"/>
          <w:bCs w:val="0"/>
          <w:color w:val="000000"/>
        </w:rPr>
        <w:t>епаратами, медицинскими изделиями, иными материальными ценностями отдельных категорий граждан (организаций)</w:t>
      </w:r>
      <w:r>
        <w:rPr>
          <w:rFonts w:ascii="Times New Roman" w:hAnsi="Times New Roman"/>
          <w:b/>
          <w:bCs/>
        </w:rPr>
        <w:t>.</w:t>
      </w:r>
    </w:p>
    <w:p w:rsidR="00E244F7" w:rsidRDefault="001E26CD">
      <w:pPr>
        <w:ind w:firstLine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(Основание: </w:t>
      </w:r>
      <w:r>
        <w:rPr>
          <w:rStyle w:val="afd"/>
          <w:rFonts w:ascii="Times New Roman" w:hAnsi="Times New Roman"/>
          <w:color w:val="000000"/>
        </w:rPr>
        <w:t>п. 12</w:t>
      </w:r>
      <w:r>
        <w:rPr>
          <w:rFonts w:ascii="Times New Roman" w:hAnsi="Times New Roman"/>
        </w:rPr>
        <w:t xml:space="preserve"> СГС "Запасы).</w:t>
      </w:r>
    </w:p>
    <w:p w:rsidR="00E244F7" w:rsidRDefault="001E26CD">
      <w:pPr>
        <w:ind w:firstLine="0"/>
        <w:contextualSpacing/>
      </w:pPr>
      <w:r>
        <w:rPr>
          <w:rFonts w:ascii="Times New Roman" w:hAnsi="Times New Roman"/>
          <w:lang w:eastAsia="en-US"/>
        </w:rPr>
        <w:t xml:space="preserve"> </w:t>
      </w:r>
      <w:r>
        <w:rPr>
          <w:rFonts w:ascii="Times New Roman" w:hAnsi="Times New Roman"/>
          <w:lang w:eastAsia="en-US"/>
        </w:rPr>
        <w:t xml:space="preserve"> 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5.2. Учреждение учитывает в составе материальных запасов материальные объекты, указанные в пунктах 98–99 Инструкции к Единому плану счетов № 157н, а также производственный и хозяйственный инвентарь.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 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5.3. Списание материальных запасов производится по сред</w:t>
      </w:r>
      <w:r>
        <w:rPr>
          <w:rFonts w:ascii="Times New Roman" w:hAnsi="Times New Roman"/>
          <w:lang w:eastAsia="en-US"/>
        </w:rPr>
        <w:t xml:space="preserve">ней фактической стоимости. 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</w:rPr>
        <w:t xml:space="preserve">(Основание: </w:t>
      </w:r>
      <w:r>
        <w:rPr>
          <w:rStyle w:val="afd"/>
          <w:rFonts w:ascii="Times New Roman" w:hAnsi="Times New Roman"/>
          <w:color w:val="000000"/>
        </w:rPr>
        <w:t>п. 42</w:t>
      </w:r>
      <w:r>
        <w:rPr>
          <w:rFonts w:ascii="Times New Roman" w:hAnsi="Times New Roman"/>
        </w:rPr>
        <w:t xml:space="preserve"> СГС "Запасы")</w:t>
      </w:r>
      <w:r>
        <w:rPr>
          <w:rFonts w:ascii="Times New Roman" w:hAnsi="Times New Roman"/>
          <w:lang w:eastAsia="en-US"/>
        </w:rPr>
        <w:t>.</w:t>
      </w:r>
    </w:p>
    <w:p w:rsidR="00E244F7" w:rsidRDefault="001E26CD">
      <w:pPr>
        <w:contextualSpacing/>
        <w:rPr>
          <w:rFonts w:ascii="Times New Roman" w:hAnsi="Times New Roman"/>
          <w:b/>
          <w:lang w:eastAsia="en-US"/>
        </w:rPr>
      </w:pPr>
      <w:r>
        <w:rPr>
          <w:rFonts w:ascii="Times New Roman" w:hAnsi="Times New Roman"/>
          <w:b/>
          <w:lang w:eastAsia="en-US"/>
        </w:rPr>
        <w:t xml:space="preserve"> 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5.4. ГСМ списывается на расходы по фактическому расходу на основании договора аренды автомобиля, путевых листов, норме расхода автомобиля, прописанных в договоре.</w:t>
      </w:r>
      <w:r>
        <w:rPr>
          <w:rFonts w:ascii="Times New Roman" w:hAnsi="Times New Roman"/>
        </w:rPr>
        <w:t xml:space="preserve"> Нормы расхода ГСМ определяются</w:t>
      </w:r>
      <w:r>
        <w:rPr>
          <w:rFonts w:ascii="Times New Roman" w:hAnsi="Times New Roman"/>
        </w:rPr>
        <w:t xml:space="preserve"> на основании -</w:t>
      </w:r>
      <w:r>
        <w:rPr>
          <w:rFonts w:ascii="Times New Roman" w:hAnsi="Times New Roman"/>
          <w:lang w:eastAsia="en-US"/>
        </w:rPr>
        <w:t xml:space="preserve"> </w:t>
      </w:r>
      <w:r>
        <w:rPr>
          <w:rStyle w:val="afe"/>
          <w:rFonts w:ascii="Times New Roman" w:hAnsi="Times New Roman"/>
          <w:b w:val="0"/>
          <w:bCs w:val="0"/>
          <w:color w:val="000000"/>
        </w:rPr>
        <w:t>норм расхода топлив и смазочных</w:t>
      </w:r>
      <w:r>
        <w:rPr>
          <w:rStyle w:val="afe"/>
          <w:b w:val="0"/>
          <w:bCs w:val="0"/>
          <w:color w:val="000000"/>
        </w:rPr>
        <w:t xml:space="preserve"> </w:t>
      </w:r>
      <w:r>
        <w:rPr>
          <w:rStyle w:val="afe"/>
          <w:rFonts w:ascii="Times New Roman" w:hAnsi="Times New Roman"/>
          <w:b w:val="0"/>
          <w:bCs w:val="0"/>
          <w:color w:val="000000"/>
        </w:rPr>
        <w:t>материалов на автомобильном транспорте, утвержденных распоряжением Минтранса России от 14.03.2008 N АМ-23-р</w:t>
      </w:r>
      <w:r>
        <w:rPr>
          <w:rFonts w:ascii="Times New Roman" w:hAnsi="Times New Roman"/>
          <w:lang w:eastAsia="en-US"/>
        </w:rPr>
        <w:t xml:space="preserve"> </w:t>
      </w:r>
      <w:r>
        <w:rPr>
          <w:rFonts w:ascii="Times New Roman" w:hAnsi="Times New Roman"/>
        </w:rPr>
        <w:t>и утверждаются приказом руководителя учреждения.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 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5.5. </w:t>
      </w:r>
      <w:r>
        <w:rPr>
          <w:rFonts w:ascii="Times New Roman" w:hAnsi="Times New Roman"/>
        </w:rPr>
        <w:t>Учет запасных частей к автотранспортным сред</w:t>
      </w:r>
      <w:r>
        <w:rPr>
          <w:rFonts w:ascii="Times New Roman" w:hAnsi="Times New Roman"/>
        </w:rPr>
        <w:t xml:space="preserve">ствам (самоходной техники), выданных на транспортные средства взамен изношенных, ведется на </w:t>
      </w:r>
      <w:r>
        <w:rPr>
          <w:rStyle w:val="afd"/>
          <w:rFonts w:ascii="Times New Roman" w:hAnsi="Times New Roman"/>
          <w:color w:val="000000"/>
        </w:rPr>
        <w:t>забалансовом счете 09</w:t>
      </w:r>
      <w:r>
        <w:rPr>
          <w:rFonts w:ascii="Times New Roman" w:hAnsi="Times New Roman"/>
        </w:rPr>
        <w:t xml:space="preserve"> "Запасные части к транспортным средствам". Перечень материальных ценностей, учитываемых на счете 09: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• автомобильные шины;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• колесные диски;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• аккумуляторы;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• наборы автоинструмента;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• аптечки;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• огнетушители.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</w:rPr>
        <w:t xml:space="preserve">(Основание: </w:t>
      </w:r>
      <w:r>
        <w:rPr>
          <w:rStyle w:val="afd"/>
          <w:rFonts w:ascii="Times New Roman" w:hAnsi="Times New Roman"/>
          <w:color w:val="000000"/>
        </w:rPr>
        <w:t>п. 349</w:t>
      </w:r>
      <w:r>
        <w:rPr>
          <w:rFonts w:ascii="Times New Roman" w:hAnsi="Times New Roman"/>
        </w:rPr>
        <w:t xml:space="preserve"> Инструкции N 157н)</w:t>
      </w:r>
      <w:r>
        <w:rPr>
          <w:rFonts w:ascii="Times New Roman" w:hAnsi="Times New Roman"/>
          <w:lang w:eastAsia="en-US"/>
        </w:rPr>
        <w:t>.</w:t>
      </w:r>
    </w:p>
    <w:p w:rsidR="00E244F7" w:rsidRDefault="00E244F7">
      <w:pPr>
        <w:contextualSpacing/>
        <w:rPr>
          <w:rFonts w:ascii="Times New Roman" w:hAnsi="Times New Roman"/>
          <w:lang w:eastAsia="en-US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5.6. Материальные запасы, переданные в личное пользование сотрудникам, списываются с балансового учета и учитываются на </w:t>
      </w:r>
      <w:r>
        <w:rPr>
          <w:rStyle w:val="afd"/>
          <w:rFonts w:ascii="Times New Roman" w:hAnsi="Times New Roman"/>
          <w:color w:val="000000"/>
        </w:rPr>
        <w:t>забалансовом счете 27</w:t>
      </w:r>
      <w:r>
        <w:rPr>
          <w:rFonts w:ascii="Times New Roman" w:hAnsi="Times New Roman"/>
        </w:rPr>
        <w:t xml:space="preserve"> "</w:t>
      </w:r>
      <w:r>
        <w:rPr>
          <w:rFonts w:ascii="Times New Roman" w:hAnsi="Times New Roman"/>
        </w:rPr>
        <w:t xml:space="preserve">Материальные ценности, </w:t>
      </w:r>
      <w:r>
        <w:rPr>
          <w:rFonts w:ascii="Times New Roman" w:hAnsi="Times New Roman"/>
        </w:rPr>
        <w:lastRenderedPageBreak/>
        <w:t>выданные в личное пользование работникам (сотрудникам)".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Выбытие имущества с </w:t>
      </w:r>
      <w:r>
        <w:rPr>
          <w:rStyle w:val="afd"/>
          <w:rFonts w:ascii="Times New Roman" w:hAnsi="Times New Roman"/>
          <w:color w:val="000000"/>
        </w:rPr>
        <w:t>забалансового счета 27</w:t>
      </w:r>
      <w:r>
        <w:rPr>
          <w:rFonts w:ascii="Times New Roman" w:hAnsi="Times New Roman"/>
        </w:rPr>
        <w:t xml:space="preserve"> в связи с его возвратом (передачей) должностными лицами оформляется Накладной на внутреннее перемещение объектов нефинансовых активов</w:t>
      </w:r>
      <w:r>
        <w:rPr>
          <w:rFonts w:ascii="Times New Roman" w:hAnsi="Times New Roman"/>
        </w:rPr>
        <w:t>.</w:t>
      </w:r>
    </w:p>
    <w:p w:rsidR="00E244F7" w:rsidRDefault="001E26CD">
      <w:pPr>
        <w:pStyle w:val="aff"/>
        <w:ind w:firstLine="0"/>
      </w:pPr>
      <w:r>
        <w:rPr>
          <w:rFonts w:ascii="Times New Roman" w:hAnsi="Times New Roman"/>
          <w:sz w:val="24"/>
        </w:rPr>
        <w:t xml:space="preserve">(Основание: </w:t>
      </w:r>
      <w:r>
        <w:rPr>
          <w:rStyle w:val="afd"/>
          <w:rFonts w:ascii="Times New Roman" w:hAnsi="Times New Roman"/>
          <w:color w:val="000000"/>
          <w:sz w:val="24"/>
        </w:rPr>
        <w:t>п. 385</w:t>
      </w:r>
      <w:r>
        <w:rPr>
          <w:rFonts w:ascii="Times New Roman" w:hAnsi="Times New Roman"/>
          <w:sz w:val="24"/>
        </w:rPr>
        <w:t xml:space="preserve"> Инструкции N 157н)</w:t>
      </w:r>
      <w:r>
        <w:t>.</w:t>
      </w:r>
    </w:p>
    <w:p w:rsidR="00E244F7" w:rsidRDefault="00E244F7">
      <w:pPr>
        <w:pStyle w:val="aff"/>
        <w:ind w:firstLine="0"/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5.7. В случае признания материальных запасов имуществом, не удовлетворяющим критериям актива, в бюджетном учете отражается списание материальных запасов с применением счета 1 401 10 172 "Доходы от операций с актива</w:t>
      </w:r>
      <w:r>
        <w:rPr>
          <w:rFonts w:ascii="Times New Roman" w:hAnsi="Times New Roman"/>
        </w:rPr>
        <w:t>ми".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Одновременно признанные неактивами материальные запасы отражаются на забалансовом счете 02 "Материальные ценности на хранении".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.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 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  <w:lang w:eastAsia="en-US"/>
        </w:rPr>
        <w:t xml:space="preserve">5.8. </w:t>
      </w:r>
      <w:r>
        <w:rPr>
          <w:rFonts w:ascii="Times New Roman" w:hAnsi="Times New Roman"/>
        </w:rPr>
        <w:t>При проведении строительных работ стоимость материальных запасов (мелкий медицинский инструмент, уборочный инвента</w:t>
      </w:r>
      <w:r>
        <w:rPr>
          <w:rFonts w:ascii="Times New Roman" w:hAnsi="Times New Roman"/>
        </w:rPr>
        <w:t>рь и т.п.), включенная в смету строительства здания или сооружения "под ключ", первоначально отражается по дебету счета 0 106 11 000 "Вложения в основные средства - недвижимое имущество", с последующим переносом в дебет счета 0 106 34 000 "Вложения в матер</w:t>
      </w:r>
      <w:r>
        <w:rPr>
          <w:rFonts w:ascii="Times New Roman" w:hAnsi="Times New Roman"/>
        </w:rPr>
        <w:t>иальные запасы - иное движимое имущество учреждения".</w:t>
      </w:r>
    </w:p>
    <w:p w:rsidR="00E244F7" w:rsidRDefault="001E26CD">
      <w:pPr>
        <w:ind w:firstLine="0"/>
      </w:pPr>
      <w:r>
        <w:rPr>
          <w:rFonts w:ascii="Times New Roman" w:hAnsi="Times New Roman"/>
        </w:rPr>
        <w:t>На основании решения Комиссии по поступлению и выбытию активов созданные материальные запасы принимаются к учету</w:t>
      </w:r>
      <w:r>
        <w:t>.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 </w:t>
      </w:r>
    </w:p>
    <w:p w:rsidR="00E244F7" w:rsidRDefault="001E26CD">
      <w:pPr>
        <w:contextualSpacing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lang w:eastAsia="en-US"/>
        </w:rPr>
        <w:t xml:space="preserve">6. </w:t>
      </w:r>
      <w:r>
        <w:rPr>
          <w:rFonts w:ascii="Times New Roman" w:hAnsi="Times New Roman"/>
          <w:b/>
          <w:szCs w:val="28"/>
        </w:rPr>
        <w:t>Особенности учета прав пользования активами</w:t>
      </w:r>
    </w:p>
    <w:p w:rsidR="00E244F7" w:rsidRDefault="00E244F7">
      <w:pPr>
        <w:contextualSpacing/>
        <w:rPr>
          <w:rFonts w:ascii="Times New Roman" w:hAnsi="Times New Roman"/>
          <w:b/>
          <w:szCs w:val="28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6.1. Объекты операционной аренды, полу</w:t>
      </w:r>
      <w:r>
        <w:rPr>
          <w:rFonts w:ascii="Times New Roman" w:hAnsi="Times New Roman"/>
        </w:rPr>
        <w:t>ченные в безвозмездное пользование, учитываются с указанием в 1-17 разрядах счета 1 111 4Х 000 составных частей КБК, по которому будет осуществляться содержание объекта.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6.2. Если стоимость операционной аренды по договору существенно ниже справедливой, об</w:t>
      </w:r>
      <w:r>
        <w:rPr>
          <w:rFonts w:ascii="Times New Roman" w:hAnsi="Times New Roman"/>
        </w:rPr>
        <w:t xml:space="preserve">ъекты учета аренды отражаются по справедливой стоимости. Существенным признается отклонение </w:t>
      </w:r>
      <w:r>
        <w:rPr>
          <w:rStyle w:val="afe"/>
          <w:rFonts w:ascii="Times New Roman" w:hAnsi="Times New Roman"/>
          <w:b w:val="0"/>
          <w:bCs w:val="0"/>
          <w:color w:val="000000"/>
        </w:rPr>
        <w:t>20 процентов</w:t>
      </w:r>
      <w:r>
        <w:rPr>
          <w:rFonts w:ascii="Times New Roman" w:hAnsi="Times New Roman"/>
          <w:b/>
          <w:bCs/>
        </w:rPr>
        <w:t>.</w:t>
      </w:r>
    </w:p>
    <w:p w:rsidR="00E244F7" w:rsidRDefault="001E26CD">
      <w:pPr>
        <w:pStyle w:val="aff"/>
        <w:ind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(Основание: </w:t>
      </w:r>
      <w:r>
        <w:rPr>
          <w:rStyle w:val="afd"/>
          <w:rFonts w:ascii="Times New Roman" w:hAnsi="Times New Roman"/>
          <w:color w:val="000000"/>
          <w:sz w:val="24"/>
        </w:rPr>
        <w:t>п. 26</w:t>
      </w:r>
      <w:r>
        <w:rPr>
          <w:rFonts w:ascii="Times New Roman" w:hAnsi="Times New Roman"/>
          <w:sz w:val="24"/>
        </w:rPr>
        <w:t xml:space="preserve"> СГС "Аренда")</w:t>
      </w:r>
    </w:p>
    <w:p w:rsidR="00E244F7" w:rsidRDefault="00E244F7">
      <w:pPr>
        <w:ind w:firstLine="0"/>
        <w:rPr>
          <w:rFonts w:ascii="Times New Roman" w:hAnsi="Times New Roman"/>
        </w:rPr>
      </w:pPr>
      <w:bookmarkStart w:id="30" w:name="sub_588675228"/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6.3. </w:t>
      </w:r>
      <w:bookmarkEnd w:id="30"/>
      <w:r>
        <w:rPr>
          <w:rFonts w:ascii="Times New Roman" w:hAnsi="Times New Roman"/>
        </w:rPr>
        <w:t>При досрочном расторжении договора, в соответствии с которым были приняты на счет 1 111 6Х 000 "</w:t>
      </w:r>
      <w:r>
        <w:rPr>
          <w:rFonts w:ascii="Times New Roman" w:hAnsi="Times New Roman"/>
        </w:rPr>
        <w:t>Права пользования нематериальными активами" объекты учета неисключительных прав, отражаются проводки: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Дебет КРБ 1 302 26 83Х Кредит КРБ 1 111 6Х 45Х - в сумме остаточной стоимости права пользования на программное обеспечение.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Если договором не предусмотрен</w:t>
      </w:r>
      <w:r>
        <w:rPr>
          <w:rFonts w:ascii="Times New Roman" w:hAnsi="Times New Roman"/>
        </w:rPr>
        <w:t xml:space="preserve"> возврат денежных средств при его досрочном прекращении, то дополнительно отражается: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 Дебет КДБ 1 401 10 173 Кредит КРБ 1 302 26 73Х;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Если договором предусмотрен возврат денежных средств при его досрочном прекращении, то дополнительно отражается: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Дебет КДБ 1 209 34 56Х Кредит КРБ 1 302 26 73Х, если деньги за права были перечислены в текущем году, и Дебет КДБ 1 209 36 56Х Кредит КРБ 1 302 26 73Х, если деньги были перечислены в прошлые годы.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6.4. Если неисключительные права на программное обеспечен</w:t>
      </w:r>
      <w:r>
        <w:rPr>
          <w:rFonts w:ascii="Times New Roman" w:hAnsi="Times New Roman"/>
        </w:rPr>
        <w:t>ие предоставлены учреждению в момент приобретения программы и учреждение не будет производить дополнительных затрат, то принятие их к учету осуществляется без применения счета 106 6I. Это ситуации, когда право пользования предоставляется по лицензионному д</w:t>
      </w:r>
      <w:r>
        <w:rPr>
          <w:rFonts w:ascii="Times New Roman" w:hAnsi="Times New Roman"/>
        </w:rPr>
        <w:t>оговору, заключенному в письменной форме, и возникает в момент подписания договора или предоставления программы.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Если права пользования программными продуктами предоставляются без заключения </w:t>
      </w:r>
      <w:r>
        <w:rPr>
          <w:rFonts w:ascii="Times New Roman" w:hAnsi="Times New Roman"/>
        </w:rPr>
        <w:lastRenderedPageBreak/>
        <w:t xml:space="preserve">лицензионного договора в письменной форме (на основании договора </w:t>
      </w:r>
      <w:r>
        <w:rPr>
          <w:rFonts w:ascii="Times New Roman" w:hAnsi="Times New Roman"/>
        </w:rPr>
        <w:t>присоединения), то до момента заключения договора присоединения и возникновения у учреждения неисключительных прав пользования расходы на приобретение программного обеспечения учитываются на счете 106 6I. Это справедливо даже при условии, что учреждение не</w:t>
      </w:r>
      <w:r>
        <w:rPr>
          <w:rFonts w:ascii="Times New Roman" w:hAnsi="Times New Roman"/>
        </w:rPr>
        <w:t xml:space="preserve"> будет производить дополнительных затрат.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6.5. При переводе прав пользования нематериальными активами из одной аналитической группы учета в другую (реклассификация) отражается "прямая" бухгалтерская запись.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Например, при переводе объектов учета из подгруп</w:t>
      </w:r>
      <w:r>
        <w:rPr>
          <w:rFonts w:ascii="Times New Roman" w:hAnsi="Times New Roman"/>
        </w:rPr>
        <w:t>пы "Права пользования нематериальными активами с неопределенным сроком полезного использования" в подгруппу "Права пользования нематериальными активами с определенным сроком полезного использования" в бухгалтерском учете производится следующая бухгалтерска</w:t>
      </w:r>
      <w:r>
        <w:rPr>
          <w:rFonts w:ascii="Times New Roman" w:hAnsi="Times New Roman"/>
        </w:rPr>
        <w:t>я запись: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Дебет КРБ 1 111 6X 352 Кредит КРБ 1 111 6X 353.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(Основание: раздел 7 Методических рекомендаций, доведенных письмом Минфина России от 30.11.2020 N 02-07-7/104384).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bookmarkStart w:id="31" w:name="sub_588675245"/>
      <w:r>
        <w:rPr>
          <w:rFonts w:ascii="Times New Roman" w:hAnsi="Times New Roman"/>
        </w:rPr>
        <w:t>6.6. Объекты, учтенные на счетах 111 60 "Права пользования нематериальными активам</w:t>
      </w:r>
      <w:r>
        <w:rPr>
          <w:rFonts w:ascii="Times New Roman" w:hAnsi="Times New Roman"/>
        </w:rPr>
        <w:t>и", признанные не удовлетворяющими критериям актива, подлежат учету на забалансовом счете:</w:t>
      </w:r>
      <w:bookmarkEnd w:id="31"/>
    </w:p>
    <w:p w:rsidR="00E244F7" w:rsidRDefault="001E26CD">
      <w:pPr>
        <w:ind w:firstLine="0"/>
        <w:rPr>
          <w:rFonts w:ascii="Times New Roman" w:hAnsi="Times New Roman"/>
        </w:rPr>
      </w:pPr>
      <w:r>
        <w:rPr>
          <w:rStyle w:val="afe"/>
          <w:rFonts w:ascii="Times New Roman" w:hAnsi="Times New Roman"/>
          <w:b w:val="0"/>
          <w:bCs w:val="0"/>
        </w:rPr>
        <w:t>- 02 "Материальные ценности на хранении";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  <w:szCs w:val="20"/>
        </w:rPr>
        <w:t xml:space="preserve">(Основание: аналогично </w:t>
      </w:r>
      <w:r>
        <w:rPr>
          <w:rStyle w:val="afd"/>
          <w:rFonts w:ascii="Times New Roman" w:hAnsi="Times New Roman"/>
          <w:color w:val="000000"/>
          <w:szCs w:val="20"/>
        </w:rPr>
        <w:t>п. 13</w:t>
      </w:r>
      <w:r>
        <w:rPr>
          <w:rFonts w:ascii="Times New Roman" w:hAnsi="Times New Roman"/>
          <w:szCs w:val="20"/>
        </w:rPr>
        <w:t> Инструкции N 162н).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6.7. Начисление амортизации на права пользования нематериальными активами</w:t>
      </w:r>
      <w:r>
        <w:rPr>
          <w:rFonts w:ascii="Times New Roman" w:hAnsi="Times New Roman"/>
        </w:rPr>
        <w:t xml:space="preserve"> осуществляется: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 линейным методом;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(Основание: п. 30 Стандарта "Нематериальные активы").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6.8. Инвентарный номер прав пользования нематериальными активами состоит из</w:t>
      </w: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</w:rPr>
        <w:t>12 знаков и формируется по следующим правилам: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 инвентарный номер представляет собой по</w:t>
      </w:r>
      <w:r>
        <w:rPr>
          <w:rFonts w:ascii="Times New Roman" w:hAnsi="Times New Roman"/>
        </w:rPr>
        <w:t>рядковый номер прав пользования нематериальными активами, перед порядковым номером проставляется необходимое количество нулей для получения установленного общего количества знаков.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(Основание: п. 9 Стандарта "Нематериальные активы").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</w:pPr>
      <w:r>
        <w:rPr>
          <w:rFonts w:ascii="Times New Roman" w:hAnsi="Times New Roman"/>
        </w:rPr>
        <w:t>6.9</w:t>
      </w:r>
      <w:r>
        <w:rPr>
          <w:rFonts w:ascii="Times New Roman" w:hAnsi="Times New Roman"/>
        </w:rPr>
        <w:t>. Групповой учет прав пользования нематериальными активами организуется в отношении единовременно приобретенных (полученных безвозмездно) однотипных прав пользования одной учетной стоимости с одинаковым сроком полезного использования. На такие объекты откр</w:t>
      </w:r>
      <w:r>
        <w:rPr>
          <w:rFonts w:ascii="Times New Roman" w:hAnsi="Times New Roman"/>
        </w:rPr>
        <w:t>ывается Инвентарная карточка группового учета с присвоением каждому инвентарному объекту отдельного инвентарного номера.</w:t>
      </w:r>
    </w:p>
    <w:p w:rsidR="00E244F7" w:rsidRDefault="00E244F7">
      <w:pPr>
        <w:contextualSpacing/>
        <w:rPr>
          <w:rFonts w:ascii="Times New Roman" w:hAnsi="Times New Roman"/>
          <w:b/>
        </w:rPr>
      </w:pPr>
    </w:p>
    <w:p w:rsidR="00E244F7" w:rsidRDefault="001E26CD">
      <w:pPr>
        <w:contextualSpacing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lang w:eastAsia="en-US"/>
        </w:rPr>
        <w:t xml:space="preserve">7. </w:t>
      </w:r>
      <w:r>
        <w:rPr>
          <w:rFonts w:ascii="Times New Roman" w:hAnsi="Times New Roman"/>
          <w:b/>
          <w:szCs w:val="28"/>
        </w:rPr>
        <w:t>Учет доходов и расходов</w:t>
      </w:r>
    </w:p>
    <w:p w:rsidR="00E244F7" w:rsidRDefault="00E244F7">
      <w:pPr>
        <w:contextualSpacing/>
        <w:rPr>
          <w:rFonts w:ascii="Times New Roman" w:hAnsi="Times New Roman"/>
          <w:lang w:eastAsia="en-US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>
        <w:rPr>
          <w:rFonts w:ascii="Times New Roman" w:hAnsi="Times New Roman"/>
        </w:rPr>
        <w:t>.1. Формирование раздельного учета по видам доходов (расходов) на счетах финансового результата текущего финансового года осуществляется с учетом положений учетной политики учреждения для целей налогообложения путем формирования показателей по различным ан</w:t>
      </w:r>
      <w:r>
        <w:rPr>
          <w:rFonts w:ascii="Times New Roman" w:hAnsi="Times New Roman"/>
        </w:rPr>
        <w:t>алитическим счетам бюджетного учета, предусмотренным Рабочим планом счетов (</w:t>
      </w:r>
      <w:r>
        <w:rPr>
          <w:rStyle w:val="afd"/>
          <w:rFonts w:ascii="Times New Roman" w:hAnsi="Times New Roman"/>
          <w:color w:val="000000"/>
        </w:rPr>
        <w:t>Приложение</w:t>
      </w:r>
      <w:r>
        <w:rPr>
          <w:rFonts w:ascii="Times New Roman" w:hAnsi="Times New Roman"/>
        </w:rPr>
        <w:t xml:space="preserve"> N 10).</w:t>
      </w:r>
    </w:p>
    <w:p w:rsidR="00E244F7" w:rsidRDefault="001E26CD">
      <w:pPr>
        <w:pStyle w:val="aff"/>
        <w:ind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(Основание: </w:t>
      </w:r>
      <w:r>
        <w:rPr>
          <w:rStyle w:val="afd"/>
          <w:rFonts w:ascii="Times New Roman" w:hAnsi="Times New Roman"/>
          <w:color w:val="000000"/>
          <w:sz w:val="24"/>
        </w:rPr>
        <w:t>п. 299</w:t>
      </w:r>
      <w:r>
        <w:rPr>
          <w:rFonts w:ascii="Times New Roman" w:hAnsi="Times New Roman"/>
          <w:sz w:val="24"/>
        </w:rPr>
        <w:t xml:space="preserve"> Инструкции N 157н).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7.2. Особенности признания в бухгалтерском учете некоторых доходов на счете 0 401 10 000 "Доходы текущего финансового года</w:t>
      </w:r>
      <w:r>
        <w:rPr>
          <w:rFonts w:ascii="Times New Roman" w:hAnsi="Times New Roman"/>
        </w:rPr>
        <w:t>" устанавливаются следующие.</w:t>
      </w:r>
    </w:p>
    <w:p w:rsidR="00E244F7" w:rsidRDefault="00E244F7">
      <w:pPr>
        <w:ind w:firstLine="0"/>
        <w:rPr>
          <w:rFonts w:ascii="Times New Roman" w:hAnsi="Times New Roman"/>
          <w:color w:val="FF0000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7.2.1. Доходы от операционной аренды признаются в учете</w:t>
      </w:r>
      <w:r>
        <w:rPr>
          <w:rStyle w:val="afe"/>
          <w:rFonts w:ascii="Times New Roman" w:hAnsi="Times New Roman"/>
          <w:b w:val="0"/>
          <w:bCs w:val="0"/>
          <w:color w:val="000000" w:themeColor="text1"/>
        </w:rPr>
        <w:t>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lastRenderedPageBreak/>
        <w:t>- в соответствии с установленным договором графиком получения арендных платежей</w:t>
      </w:r>
      <w:r>
        <w:rPr>
          <w:rFonts w:ascii="Times New Roman" w:hAnsi="Times New Roman"/>
        </w:rPr>
        <w:t>.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Доходы по условным арендным платежам отражаются в учете </w:t>
      </w:r>
      <w:r>
        <w:rPr>
          <w:rStyle w:val="afe"/>
          <w:rFonts w:ascii="Times New Roman" w:hAnsi="Times New Roman"/>
          <w:b w:val="0"/>
          <w:bCs w:val="0"/>
          <w:color w:val="000000"/>
        </w:rPr>
        <w:t>по предъявлению документа, содер</w:t>
      </w:r>
      <w:r>
        <w:rPr>
          <w:rStyle w:val="afe"/>
          <w:rFonts w:ascii="Times New Roman" w:hAnsi="Times New Roman"/>
          <w:b w:val="0"/>
          <w:bCs w:val="0"/>
          <w:color w:val="000000"/>
        </w:rPr>
        <w:t>жащего сумму возмещения: счета или акта, или иного документа-основания</w:t>
      </w:r>
      <w:r>
        <w:rPr>
          <w:rFonts w:ascii="Times New Roman" w:hAnsi="Times New Roman"/>
        </w:rPr>
        <w:t>.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Расчет условных арендных платежей осуществляется: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t>- ежемесячно.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7.2.2. Доходы в виде компенсации затрат учреждения, возникающие при выдаче работнику трудовой книжки (вкладыша в трудов</w:t>
      </w:r>
      <w:r>
        <w:rPr>
          <w:rFonts w:ascii="Times New Roman" w:hAnsi="Times New Roman"/>
        </w:rPr>
        <w:t>ую книжку), признаются в учете на основании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t>- подписи получившего их лица в Книге учета бланков строгой отчетности (ф. 0504045) и датой получения.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7.2.3. Доходы в виде неучтенных объектов нефинансовых активов</w:t>
      </w:r>
      <w:r>
        <w:rPr>
          <w:rFonts w:ascii="Times New Roman" w:hAnsi="Times New Roman"/>
        </w:rPr>
        <w:t>, выявленных в результате инвентаризации, отражаются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t>- на дату утверждения руководителем учреждения итогов инвентаризации.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7.2.4. Доходы от возмещения ущерба отражаются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t>- на дату выявления недостач, хищений имущества в соответствии с результатами проведен</w:t>
      </w:r>
      <w:r>
        <w:rPr>
          <w:rStyle w:val="afe"/>
          <w:rFonts w:ascii="Times New Roman" w:hAnsi="Times New Roman"/>
          <w:b w:val="0"/>
          <w:bCs w:val="0"/>
          <w:color w:val="000000"/>
        </w:rPr>
        <w:t>ной инвентаризации.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7.2.5. Доходы от сумм принудительного изъятия (суммы штрафов, пеней, неустоек, предъявляемых контрагентам за нарушение условий договоров), доходы в возмещение ущерба признаются учреждением в качестве доходов текущего финансового года н</w:t>
      </w:r>
      <w:r>
        <w:rPr>
          <w:rFonts w:ascii="Times New Roman" w:hAnsi="Times New Roman"/>
        </w:rPr>
        <w:t>а дату признания претензии (требования) плательщиком (виновным лицом) в случае досудебного урегулирования или на дату вступления в силу решения суда.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7.3. В составе доходов будущих периодов на счете 0 401 40 000 "Доходы будущих периодов" учитываются:</w:t>
      </w:r>
    </w:p>
    <w:p w:rsidR="00E244F7" w:rsidRDefault="001E26CD">
      <w:pPr>
        <w:ind w:firstLine="0"/>
        <w:rPr>
          <w:rFonts w:ascii="Times New Roman" w:hAnsi="Times New Roman"/>
          <w:color w:val="000000"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t>- до</w:t>
      </w:r>
      <w:r>
        <w:rPr>
          <w:rStyle w:val="afe"/>
          <w:rFonts w:ascii="Times New Roman" w:hAnsi="Times New Roman"/>
          <w:b w:val="0"/>
          <w:bCs w:val="0"/>
          <w:color w:val="000000"/>
        </w:rPr>
        <w:t>ходы по арендным платежам;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 доходы в виде субсидий (кроме компенсации ранее произведенных расходов бюджета), субвенций, иных межбюджетных трансфертов, предоставляемых с условиями при передаче активов.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bookmarkStart w:id="32" w:name="sub_134"/>
      <w:r>
        <w:rPr>
          <w:rFonts w:ascii="Times New Roman" w:hAnsi="Times New Roman"/>
        </w:rPr>
        <w:t>7.4. В составе расходов будущих периодов на счете 0 4</w:t>
      </w:r>
      <w:r>
        <w:rPr>
          <w:rFonts w:ascii="Times New Roman" w:hAnsi="Times New Roman"/>
        </w:rPr>
        <w:t>01 50 000 "Расходы будущих периодов" отражаются расходы, связанные:</w:t>
      </w:r>
      <w:bookmarkEnd w:id="32"/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 с приобретением прав пользования нематериальными активами, если срок их использования менее или равен 12 месяцам и приходятся на 2 разных отчетных года.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Расходы будущих периодов подлежат отнесению на финансовый результат текущего финансового года</w:t>
      </w:r>
      <w:r>
        <w:rPr>
          <w:rStyle w:val="afe"/>
          <w:rFonts w:ascii="Times New Roman" w:hAnsi="Times New Roman"/>
          <w:b w:val="0"/>
          <w:bCs w:val="0"/>
          <w:color w:val="000000"/>
        </w:rPr>
        <w:t xml:space="preserve"> ежеквартально: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t>- равномерно.</w:t>
      </w:r>
    </w:p>
    <w:p w:rsidR="00E244F7" w:rsidRDefault="001E26CD">
      <w:pPr>
        <w:pStyle w:val="aff"/>
        <w:ind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(Основание: </w:t>
      </w:r>
      <w:r>
        <w:rPr>
          <w:rStyle w:val="afd"/>
          <w:rFonts w:ascii="Times New Roman" w:hAnsi="Times New Roman"/>
          <w:color w:val="000000"/>
          <w:sz w:val="24"/>
        </w:rPr>
        <w:t>п. 302</w:t>
      </w:r>
      <w:r>
        <w:rPr>
          <w:rFonts w:ascii="Times New Roman" w:hAnsi="Times New Roman"/>
          <w:sz w:val="24"/>
        </w:rPr>
        <w:t xml:space="preserve"> Инструкции N 157н).</w:t>
      </w:r>
    </w:p>
    <w:p w:rsidR="00E244F7" w:rsidRDefault="00E244F7">
      <w:pPr>
        <w:ind w:firstLine="0"/>
        <w:rPr>
          <w:rFonts w:ascii="Times New Roman" w:hAnsi="Times New Roman"/>
          <w:color w:val="FF0000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bookmarkStart w:id="33" w:name="sub_588675255"/>
      <w:r>
        <w:rPr>
          <w:rFonts w:ascii="Times New Roman" w:hAnsi="Times New Roman"/>
        </w:rPr>
        <w:t>7.5. Ранее учтенные на счете 401 40 доходы будущих периодов при досрочном расторжении, измене</w:t>
      </w:r>
      <w:r>
        <w:rPr>
          <w:rFonts w:ascii="Times New Roman" w:hAnsi="Times New Roman"/>
        </w:rPr>
        <w:t xml:space="preserve">нии условий договора отражаются на сумму уменьшения бухгалтерской записью: </w:t>
      </w:r>
    </w:p>
    <w:bookmarkEnd w:id="33"/>
    <w:p w:rsidR="00E244F7" w:rsidRDefault="001E26CD">
      <w:pPr>
        <w:ind w:firstLine="0"/>
        <w:contextualSpacing/>
      </w:pPr>
      <w:r>
        <w:rPr>
          <w:rStyle w:val="afe"/>
          <w:rFonts w:ascii="Times New Roman" w:hAnsi="Times New Roman"/>
          <w:b w:val="0"/>
          <w:bCs w:val="0"/>
        </w:rPr>
        <w:t>- Дебет 1 401 40 ХХХ Кредит 1 205 ХХ 66Х;</w:t>
      </w:r>
      <w:r>
        <w:rPr>
          <w:rFonts w:ascii="Times New Roman" w:hAnsi="Times New Roman"/>
          <w:lang w:eastAsia="en-US"/>
        </w:rPr>
        <w:t xml:space="preserve"> </w:t>
      </w:r>
    </w:p>
    <w:p w:rsidR="00E244F7" w:rsidRDefault="001E26CD">
      <w:pPr>
        <w:contextualSpacing/>
        <w:rPr>
          <w:rFonts w:ascii="Times New Roman" w:hAnsi="Times New Roman"/>
          <w:b/>
          <w:lang w:eastAsia="en-US"/>
        </w:rPr>
      </w:pPr>
      <w:r>
        <w:rPr>
          <w:rFonts w:ascii="Times New Roman" w:hAnsi="Times New Roman"/>
          <w:b/>
          <w:lang w:eastAsia="en-US"/>
        </w:rPr>
        <w:t xml:space="preserve"> 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b/>
          <w:lang w:eastAsia="en-US"/>
        </w:rPr>
        <w:t>8. Расчеты с подотчетными лицами</w:t>
      </w:r>
    </w:p>
    <w:p w:rsidR="00E244F7" w:rsidRDefault="001E26CD">
      <w:pPr>
        <w:contextualSpacing/>
        <w:rPr>
          <w:rFonts w:ascii="Times New Roman" w:hAnsi="Times New Roman"/>
          <w:b/>
          <w:lang w:eastAsia="en-US"/>
        </w:rPr>
      </w:pPr>
      <w:r>
        <w:rPr>
          <w:rFonts w:ascii="Times New Roman" w:hAnsi="Times New Roman"/>
          <w:b/>
          <w:lang w:eastAsia="en-US"/>
        </w:rPr>
        <w:t xml:space="preserve">   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8.1. Отражение в учете операций по расходам, произведенным подотчетным лицом, допустимо только в объеме расходов, утвержденных руководителем согласно авансовому отчету.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Дата авансового отчета не может быть ранее самой поздней даты, указанной в прилагаемых </w:t>
      </w:r>
      <w:r>
        <w:rPr>
          <w:rFonts w:ascii="Times New Roman" w:hAnsi="Times New Roman"/>
        </w:rPr>
        <w:t>к отчету документах о произведенных расходах.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Нумерация авансовых отчетов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t>- сквозная по всем источникам финансового обеспечения.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Утверждение руководителем авансовых отчетов в части сумм несанкционированных перерасходов по закупкам, произведенным подотчетны</w:t>
      </w:r>
      <w:r>
        <w:rPr>
          <w:rFonts w:ascii="Times New Roman" w:hAnsi="Times New Roman"/>
        </w:rPr>
        <w:t>м лицом, допустимо только в пределах свободных лимитов бюджетных обязательств (прав на принятие обязательств) на год, в котором планируется погашение кредиторской задолженности перед подотчетным лицом.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bookmarkStart w:id="34" w:name="sub_92"/>
      <w:r>
        <w:rPr>
          <w:rFonts w:ascii="Times New Roman" w:hAnsi="Times New Roman"/>
        </w:rPr>
        <w:t>8.2. Расчеты по выданным под отчет сотрудникам учрежд</w:t>
      </w:r>
      <w:r>
        <w:rPr>
          <w:rFonts w:ascii="Times New Roman" w:hAnsi="Times New Roman"/>
        </w:rPr>
        <w:t>ения денежным средствам, а также расчеты по выплате подотчетным лицам перерасходов (в том числе и в тех случаях, когда денежные средства под отчет не выдавались) подлежат учету на счете 0 208 00 000 "Расчеты с подотчетными лицами".</w:t>
      </w:r>
    </w:p>
    <w:bookmarkEnd w:id="34"/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По своевременно не возвр</w:t>
      </w:r>
      <w:r>
        <w:rPr>
          <w:rFonts w:ascii="Times New Roman" w:hAnsi="Times New Roman"/>
        </w:rPr>
        <w:t>ащенным и не удержанным из заработной платы (денежного содержания) суммам задолженности подотчетных лиц (в том числе уволенных сотрудников) в установленном порядке ведется претензионная работа, а задолженность подлежит учету на счете 0 209 30 000.</w:t>
      </w:r>
    </w:p>
    <w:p w:rsidR="00E244F7" w:rsidRDefault="001E26CD">
      <w:pPr>
        <w:pStyle w:val="aff"/>
        <w:ind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(Основан</w:t>
      </w:r>
      <w:r>
        <w:rPr>
          <w:rFonts w:ascii="Times New Roman" w:hAnsi="Times New Roman"/>
          <w:sz w:val="24"/>
        </w:rPr>
        <w:t xml:space="preserve">ие: </w:t>
      </w:r>
      <w:r>
        <w:rPr>
          <w:rStyle w:val="afd"/>
          <w:rFonts w:ascii="Times New Roman" w:hAnsi="Times New Roman"/>
          <w:color w:val="000000"/>
          <w:sz w:val="24"/>
        </w:rPr>
        <w:t>п.п. 212</w:t>
      </w:r>
      <w:r>
        <w:rPr>
          <w:rFonts w:ascii="Times New Roman" w:hAnsi="Times New Roman"/>
          <w:sz w:val="24"/>
        </w:rPr>
        <w:t xml:space="preserve">, </w:t>
      </w:r>
      <w:r>
        <w:rPr>
          <w:rStyle w:val="afd"/>
          <w:rFonts w:ascii="Times New Roman" w:hAnsi="Times New Roman"/>
          <w:color w:val="000000"/>
          <w:sz w:val="24"/>
        </w:rPr>
        <w:t>213</w:t>
      </w:r>
      <w:r>
        <w:rPr>
          <w:rFonts w:ascii="Times New Roman" w:hAnsi="Times New Roman"/>
          <w:sz w:val="24"/>
        </w:rPr>
        <w:t xml:space="preserve">, </w:t>
      </w:r>
      <w:r>
        <w:rPr>
          <w:rStyle w:val="afd"/>
          <w:rFonts w:ascii="Times New Roman" w:hAnsi="Times New Roman"/>
          <w:color w:val="000000"/>
          <w:sz w:val="24"/>
        </w:rPr>
        <w:t>216</w:t>
      </w:r>
      <w:r>
        <w:rPr>
          <w:rFonts w:ascii="Times New Roman" w:hAnsi="Times New Roman"/>
          <w:sz w:val="24"/>
        </w:rPr>
        <w:t xml:space="preserve"> Инструкции N 157н).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8.3. На счете 0 208 00 000 "Расчеты с подотчетными лицами" подлежат отражению только расчеты с сотрудниками учреждения. Расчеты с физическими лицами, отношения с которыми оформлены в рамках гражданско-правовых до</w:t>
      </w:r>
      <w:r>
        <w:rPr>
          <w:rFonts w:ascii="Times New Roman" w:hAnsi="Times New Roman"/>
        </w:rPr>
        <w:t>говоров, осуществляются на основании таких договоров и учитываются на счетах 0 206 00 000 "Расчеты по выданным авансам", 0 302 00 000 "Расчеты по принятым обязательствам".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  <w:color w:val="FF0000"/>
        </w:rPr>
      </w:pPr>
      <w:r>
        <w:rPr>
          <w:rStyle w:val="afe"/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</w:rPr>
        <w:t>8.4. В </w:t>
      </w:r>
      <w:r>
        <w:rPr>
          <w:rStyle w:val="afe"/>
          <w:rFonts w:ascii="Times New Roman" w:hAnsi="Times New Roman"/>
          <w:b w:val="0"/>
          <w:color w:val="000000" w:themeColor="text1"/>
        </w:rPr>
        <w:t>учреждении применяется бумажная форма Авансового отчета (ф. 0504505)</w:t>
      </w:r>
      <w:r>
        <w:rPr>
          <w:rFonts w:ascii="Times New Roman" w:hAnsi="Times New Roman"/>
          <w:color w:val="000000" w:themeColor="text1"/>
        </w:rPr>
        <w:t>.</w:t>
      </w:r>
      <w:r>
        <w:rPr>
          <w:rFonts w:ascii="Times New Roman" w:hAnsi="Times New Roman"/>
        </w:rPr>
        <w:t xml:space="preserve"> На ли</w:t>
      </w:r>
      <w:r>
        <w:rPr>
          <w:rFonts w:ascii="Times New Roman" w:hAnsi="Times New Roman"/>
        </w:rPr>
        <w:t>цевой стороне Авансового отчета (</w:t>
      </w:r>
      <w:r>
        <w:rPr>
          <w:rStyle w:val="afd"/>
          <w:rFonts w:ascii="Times New Roman" w:hAnsi="Times New Roman"/>
          <w:color w:val="000000"/>
        </w:rPr>
        <w:t>ф. 0504505</w:t>
      </w:r>
      <w:r>
        <w:rPr>
          <w:rFonts w:ascii="Times New Roman" w:hAnsi="Times New Roman"/>
        </w:rPr>
        <w:t xml:space="preserve">) в </w:t>
      </w:r>
      <w:r>
        <w:rPr>
          <w:rStyle w:val="afd"/>
          <w:rFonts w:ascii="Times New Roman" w:hAnsi="Times New Roman"/>
          <w:color w:val="000000"/>
        </w:rPr>
        <w:t>графах</w:t>
      </w:r>
      <w:r>
        <w:rPr>
          <w:rFonts w:ascii="Times New Roman" w:hAnsi="Times New Roman"/>
        </w:rPr>
        <w:t xml:space="preserve"> "Бухгалтерская запись" указываются корреспонденции: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t>- по отражению расходов, целесообразность которых подтверждена документами и которые принимаются учреждением к бюджетному учету, и по отражению выдачи (перечислению) денежных средств.</w:t>
      </w:r>
      <w:r>
        <w:rPr>
          <w:rFonts w:ascii="Times New Roman" w:hAnsi="Times New Roman"/>
          <w:b/>
          <w:bCs/>
        </w:rPr>
        <w:t>.</w:t>
      </w:r>
    </w:p>
    <w:p w:rsidR="00E244F7" w:rsidRDefault="001E26CD">
      <w:pPr>
        <w:pStyle w:val="aff"/>
        <w:ind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(Основание: </w:t>
      </w:r>
      <w:r>
        <w:rPr>
          <w:rStyle w:val="afd"/>
          <w:rFonts w:ascii="Times New Roman" w:hAnsi="Times New Roman"/>
          <w:color w:val="000000"/>
          <w:sz w:val="24"/>
        </w:rPr>
        <w:t>письмо</w:t>
      </w:r>
      <w:r>
        <w:rPr>
          <w:rFonts w:ascii="Times New Roman" w:hAnsi="Times New Roman"/>
          <w:sz w:val="24"/>
        </w:rPr>
        <w:t xml:space="preserve"> Минфина России от 08.05.2018 N 02-07-05/30993).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8.5</w:t>
      </w:r>
      <w:r>
        <w:rPr>
          <w:rFonts w:ascii="Times New Roman" w:hAnsi="Times New Roman"/>
        </w:rPr>
        <w:t>. Невозвращенный остаток подотчетной суммы может быть удержан из заработной платы в порядке, предусмотренном действующим законодательством. При этом отражаются бухгалтерские записи: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Дебет КРБ 1 3</w:t>
      </w:r>
      <w:r>
        <w:rPr>
          <w:rFonts w:ascii="Times New Roman" w:hAnsi="Times New Roman"/>
        </w:rPr>
        <w:t>02 11 837 Кредит КРБ 1 304 03 737 - удержан из заработной платы остаток невозвращенный остаток подотчетной суммы;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Дебет КРБ 1 304 03 737 Кредит КРБ 1 208 ХХ 667 - погашена задолженность сотрудника за счет удержания из заработной платы;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Дебет КРБ 1 304 05 Х</w:t>
      </w:r>
      <w:r>
        <w:rPr>
          <w:rFonts w:ascii="Times New Roman" w:hAnsi="Times New Roman"/>
        </w:rPr>
        <w:t>ХХ Кредит КРБ 1 304 05 211 - восстановлена кассовая выплата по задолженности текущего года путем уточнения вида и принадлежности платежа на лицевом счете.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В случае удержания задолженности прошлого года средства направляются в доход бюджета.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8.6. Если пере</w:t>
      </w:r>
      <w:r>
        <w:rPr>
          <w:rFonts w:ascii="Times New Roman" w:hAnsi="Times New Roman"/>
        </w:rPr>
        <w:t>возчик предоставил подотчетному лицу именной ваучер на отмененную поездку, то на основании отчета подотчетного лица с ним закрываются расчеты. При этом отражается бухгалтерская запись: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Дебет КРБ 1 208 ХХ 567 (аналитика "Именной ваучер") Кредит КРБ 1 208 ХХ</w:t>
      </w:r>
      <w:r>
        <w:rPr>
          <w:rFonts w:ascii="Times New Roman" w:hAnsi="Times New Roman"/>
        </w:rPr>
        <w:t xml:space="preserve"> 667.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Задолженность будет учитываться в составе текущей в течение срока, в котором сотрудник имеет право воспользоваться услугами перевозчика или вернуть денежные средства за неиспользованный проездной документ.</w:t>
      </w:r>
    </w:p>
    <w:p w:rsidR="00E244F7" w:rsidRDefault="00E244F7">
      <w:pPr>
        <w:ind w:firstLine="0"/>
      </w:pPr>
    </w:p>
    <w:p w:rsidR="00E244F7" w:rsidRDefault="001E26CD">
      <w:pPr>
        <w:ind w:firstLine="0"/>
      </w:pPr>
      <w:r>
        <w:rPr>
          <w:rFonts w:ascii="Times New Roman" w:hAnsi="Times New Roman"/>
          <w:b/>
        </w:rPr>
        <w:t>9.</w:t>
      </w:r>
      <w:r>
        <w:rPr>
          <w:rFonts w:ascii="Times New Roman" w:hAnsi="Times New Roman"/>
          <w:b/>
          <w:szCs w:val="28"/>
        </w:rPr>
        <w:t xml:space="preserve"> Учет расчетов по налогам</w:t>
      </w:r>
      <w:r>
        <w:t xml:space="preserve"> </w:t>
      </w:r>
    </w:p>
    <w:p w:rsidR="00E244F7" w:rsidRDefault="00E244F7">
      <w:pPr>
        <w:ind w:firstLine="0"/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9.1. Устанавл</w:t>
      </w:r>
      <w:r>
        <w:rPr>
          <w:rFonts w:ascii="Times New Roman" w:hAnsi="Times New Roman"/>
        </w:rPr>
        <w:t>ивается следующий порядок признания обязательств по налогам.</w:t>
      </w:r>
    </w:p>
    <w:p w:rsidR="00E244F7" w:rsidRDefault="001E26CD">
      <w:pPr>
        <w:ind w:firstLine="0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 xml:space="preserve"> 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9.1.1. Начисление</w:t>
      </w:r>
      <w:r>
        <w:rPr>
          <w:rStyle w:val="afe"/>
          <w:rFonts w:ascii="Times New Roman" w:hAnsi="Times New Roman"/>
          <w:color w:val="000000"/>
        </w:rPr>
        <w:t xml:space="preserve"> </w:t>
      </w:r>
      <w:r>
        <w:rPr>
          <w:rStyle w:val="afe"/>
          <w:rFonts w:ascii="Times New Roman" w:hAnsi="Times New Roman"/>
          <w:b w:val="0"/>
          <w:bCs w:val="0"/>
          <w:color w:val="000000"/>
        </w:rPr>
        <w:t>налога на прибыль,</w:t>
      </w:r>
      <w:r>
        <w:rPr>
          <w:rFonts w:ascii="Times New Roman" w:hAnsi="Times New Roman"/>
        </w:rPr>
        <w:t xml:space="preserve"> в т.ч. авансовых платежей, за налоговый (отчетный) период отражается в учете:</w:t>
      </w:r>
    </w:p>
    <w:p w:rsidR="00E244F7" w:rsidRDefault="001E26CD">
      <w:pPr>
        <w:ind w:firstLine="0"/>
        <w:rPr>
          <w:rFonts w:ascii="Times New Roman" w:hAnsi="Times New Roman"/>
          <w:b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t>- датой предоставления налоговой декларации</w:t>
      </w:r>
      <w:r>
        <w:rPr>
          <w:rFonts w:ascii="Times New Roman" w:hAnsi="Times New Roman"/>
          <w:b/>
          <w:bCs/>
        </w:rPr>
        <w:t>.</w:t>
      </w:r>
    </w:p>
    <w:p w:rsidR="00E244F7" w:rsidRDefault="00E244F7">
      <w:pPr>
        <w:ind w:firstLine="0"/>
        <w:rPr>
          <w:rFonts w:ascii="Times New Roman" w:hAnsi="Times New Roman"/>
          <w:b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9.1.2. Начисление</w:t>
      </w:r>
      <w:r>
        <w:rPr>
          <w:rStyle w:val="afe"/>
          <w:rFonts w:ascii="Times New Roman" w:hAnsi="Times New Roman"/>
          <w:b w:val="0"/>
          <w:bCs w:val="0"/>
          <w:color w:val="000000"/>
        </w:rPr>
        <w:t xml:space="preserve"> налога на имущество, земельного налога, транспортного налога</w:t>
      </w:r>
      <w:r>
        <w:rPr>
          <w:rFonts w:ascii="Times New Roman" w:hAnsi="Times New Roman"/>
        </w:rPr>
        <w:t>, в т.ч. авансовых платежей, за налоговый (отчетный) период отражается в учете</w:t>
      </w:r>
      <w:r>
        <w:rPr>
          <w:rStyle w:val="afe"/>
          <w:rFonts w:ascii="Times New Roman" w:hAnsi="Times New Roman"/>
          <w:b w:val="0"/>
          <w:bCs w:val="0"/>
          <w:color w:val="FF0000"/>
        </w:rPr>
        <w:t xml:space="preserve"> </w:t>
      </w:r>
      <w:r>
        <w:rPr>
          <w:rStyle w:val="afe"/>
          <w:rFonts w:ascii="Times New Roman" w:hAnsi="Times New Roman"/>
          <w:b w:val="0"/>
          <w:bCs w:val="0"/>
          <w:color w:val="000000"/>
        </w:rPr>
        <w:t>последним днем налогового (отчетного) периода или иную, но не позднее срока, установленного для уплаты налога</w:t>
      </w:r>
      <w:r>
        <w:rPr>
          <w:rFonts w:ascii="Times New Roman" w:hAnsi="Times New Roman"/>
          <w:b/>
          <w:bCs/>
        </w:rPr>
        <w:t>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9.2.</w:t>
      </w:r>
      <w:r>
        <w:rPr>
          <w:rFonts w:ascii="Times New Roman" w:hAnsi="Times New Roman"/>
        </w:rPr>
        <w:t> Операции по начислению налогов, в т.ч. авансовых платежей, отражаются на основании Бухгалтерской справки (</w:t>
      </w:r>
      <w:r>
        <w:rPr>
          <w:rStyle w:val="afd"/>
          <w:rFonts w:ascii="Times New Roman" w:hAnsi="Times New Roman"/>
          <w:color w:val="000000"/>
        </w:rPr>
        <w:t>ф. 0504833</w:t>
      </w:r>
      <w:r>
        <w:rPr>
          <w:rFonts w:ascii="Times New Roman" w:hAnsi="Times New Roman"/>
        </w:rPr>
        <w:t>) с приложением следующих документов: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по</w:t>
      </w:r>
      <w:r>
        <w:rPr>
          <w:rStyle w:val="afe"/>
          <w:rFonts w:ascii="Times New Roman" w:hAnsi="Times New Roman"/>
          <w:color w:val="000000"/>
        </w:rPr>
        <w:t xml:space="preserve"> </w:t>
      </w:r>
      <w:r>
        <w:rPr>
          <w:rStyle w:val="afe"/>
          <w:rFonts w:ascii="Times New Roman" w:hAnsi="Times New Roman"/>
          <w:b w:val="0"/>
          <w:bCs w:val="0"/>
          <w:color w:val="000000"/>
        </w:rPr>
        <w:t>налогу на прибыль - налоговой декларации за отчетный период</w:t>
      </w:r>
      <w:r>
        <w:rPr>
          <w:rFonts w:ascii="Times New Roman" w:hAnsi="Times New Roman"/>
          <w:b/>
          <w:bCs/>
        </w:rPr>
        <w:t>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по налогу на имущество -</w:t>
      </w:r>
      <w:r>
        <w:rPr>
          <w:rStyle w:val="afe"/>
          <w:rFonts w:ascii="Times New Roman" w:hAnsi="Times New Roman"/>
          <w:b w:val="0"/>
          <w:bCs w:val="0"/>
          <w:color w:val="000000"/>
        </w:rPr>
        <w:t xml:space="preserve"> налогово</w:t>
      </w:r>
      <w:r>
        <w:rPr>
          <w:rStyle w:val="afe"/>
          <w:rFonts w:ascii="Times New Roman" w:hAnsi="Times New Roman"/>
          <w:b w:val="0"/>
          <w:bCs w:val="0"/>
          <w:color w:val="000000"/>
        </w:rPr>
        <w:t>й декларации за отчетный период,</w:t>
      </w:r>
      <w:r>
        <w:rPr>
          <w:rFonts w:ascii="Times New Roman" w:hAnsi="Times New Roman"/>
        </w:rPr>
        <w:t xml:space="preserve"> а для авансовых платежей -</w:t>
      </w:r>
      <w:r>
        <w:rPr>
          <w:rStyle w:val="afe"/>
          <w:rFonts w:ascii="Times New Roman" w:hAnsi="Times New Roman"/>
          <w:b w:val="0"/>
          <w:bCs w:val="0"/>
          <w:color w:val="000000"/>
        </w:rPr>
        <w:t xml:space="preserve"> справки-расчета;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по земельному и транспортному налогам -</w:t>
      </w:r>
      <w:r>
        <w:rPr>
          <w:rStyle w:val="afe"/>
          <w:rFonts w:ascii="Times New Roman" w:hAnsi="Times New Roman"/>
          <w:b w:val="0"/>
          <w:bCs w:val="0"/>
          <w:color w:val="000000"/>
        </w:rPr>
        <w:t xml:space="preserve"> регистра налогового учета или иного документа</w:t>
      </w:r>
      <w:r>
        <w:rPr>
          <w:rFonts w:ascii="Times New Roman" w:hAnsi="Times New Roman"/>
          <w:b/>
          <w:bCs/>
        </w:rPr>
        <w:t>.</w:t>
      </w:r>
    </w:p>
    <w:p w:rsidR="00E244F7" w:rsidRDefault="001E26CD">
      <w:pPr>
        <w:pStyle w:val="aff"/>
        <w:ind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(Основание: </w:t>
      </w:r>
      <w:r>
        <w:rPr>
          <w:rStyle w:val="afd"/>
          <w:rFonts w:ascii="Times New Roman" w:hAnsi="Times New Roman"/>
          <w:color w:val="000000"/>
          <w:sz w:val="24"/>
        </w:rPr>
        <w:t>письмо</w:t>
      </w:r>
      <w:r>
        <w:rPr>
          <w:rFonts w:ascii="Times New Roman" w:hAnsi="Times New Roman"/>
          <w:sz w:val="24"/>
        </w:rPr>
        <w:t xml:space="preserve"> Минфина России от 31.08.2018 N 02-06-07/62480).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9.3. Суммы НДС, предъя</w:t>
      </w:r>
      <w:r>
        <w:rPr>
          <w:rFonts w:ascii="Times New Roman" w:hAnsi="Times New Roman"/>
        </w:rPr>
        <w:t>вленные учреждению контрагентами, подлежат учету на счете 0 210 12 000 "Расчеты по НДС по приобретенным материальным ценностям, работам, услугам" в случае, если: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нефинансовые активы (работы, услуги) приобретены для деятельности, облагаемой НДС;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нефинан</w:t>
      </w:r>
      <w:r>
        <w:rPr>
          <w:rFonts w:ascii="Times New Roman" w:hAnsi="Times New Roman"/>
        </w:rPr>
        <w:t>совые активы (работы, услуги) приобретены для осуществления как облагаемой налогом, так и не подлежащей налогообложению (освобожденной от налогообложения) деятельности.</w:t>
      </w:r>
    </w:p>
    <w:p w:rsidR="00E244F7" w:rsidRDefault="001E26CD">
      <w:pPr>
        <w:ind w:firstLine="0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Обеспечение раздельного учета сумм "входного" НДС на счете: принимаемых к вычету в полн</w:t>
      </w:r>
      <w:r>
        <w:rPr>
          <w:rFonts w:ascii="Times New Roman" w:hAnsi="Times New Roman"/>
        </w:rPr>
        <w:t>ом объеме или принимаемых к вычету частично, организовано</w:t>
      </w:r>
      <w:r>
        <w:rPr>
          <w:rStyle w:val="afe"/>
          <w:rFonts w:ascii="Times New Roman" w:hAnsi="Times New Roman"/>
          <w:color w:val="FF0000"/>
        </w:rPr>
        <w:t xml:space="preserve"> </w:t>
      </w:r>
      <w:r>
        <w:rPr>
          <w:rStyle w:val="afe"/>
          <w:rFonts w:ascii="Times New Roman" w:hAnsi="Times New Roman"/>
          <w:b w:val="0"/>
          <w:color w:val="000000" w:themeColor="text1"/>
        </w:rPr>
        <w:t>путем открытия дополнительного субконто</w:t>
      </w:r>
      <w:r>
        <w:rPr>
          <w:rFonts w:ascii="Times New Roman" w:hAnsi="Times New Roman"/>
          <w:color w:val="000000" w:themeColor="text1"/>
        </w:rPr>
        <w:t>.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По нефинансовым активам (работам, услугам), приобретенным учреждением в рамках деятельности, не облагаемой НДС, суммы "входного"</w:t>
      </w:r>
      <w:r>
        <w:rPr>
          <w:rFonts w:ascii="Times New Roman" w:hAnsi="Times New Roman"/>
        </w:rPr>
        <w:t xml:space="preserve"> НДС учитываются в стоимости нефинансовых активов (работ, услуг). На счете 0 210 12 000 "Расчеты по НДС по приобретенным материальным ценностям, работам, услугам" данные суммы не отражаются.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9.4. Любые пени, штрафы и иные санкции, перечисляемые в бюджеты,</w:t>
      </w:r>
      <w:r>
        <w:rPr>
          <w:rFonts w:ascii="Times New Roman" w:hAnsi="Times New Roman"/>
        </w:rPr>
        <w:t xml:space="preserve"> в том числе по страховым взносам, учитываются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t>- на счете 303 05 "Расчеты по прочим платежам в бюджет"</w:t>
      </w:r>
      <w:r>
        <w:rPr>
          <w:rFonts w:ascii="Times New Roman" w:hAnsi="Times New Roman"/>
        </w:rPr>
        <w:t>.</w:t>
      </w:r>
    </w:p>
    <w:p w:rsidR="00E244F7" w:rsidRDefault="00E244F7">
      <w:pPr>
        <w:contextualSpacing/>
        <w:rPr>
          <w:rFonts w:ascii="Times New Roman" w:hAnsi="Times New Roman"/>
          <w:b/>
          <w:lang w:eastAsia="en-US"/>
        </w:rPr>
      </w:pPr>
    </w:p>
    <w:p w:rsidR="00E244F7" w:rsidRDefault="001E26CD">
      <w:pPr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eastAsia="en-US"/>
        </w:rPr>
        <w:t>10. Расчеты с дебиторами и кредиторами</w:t>
      </w:r>
    </w:p>
    <w:p w:rsidR="00E244F7" w:rsidRDefault="001E26CD">
      <w:pPr>
        <w:contextualSpacing/>
        <w:rPr>
          <w:rFonts w:ascii="Times New Roman" w:hAnsi="Times New Roman"/>
          <w:b/>
          <w:lang w:eastAsia="en-US"/>
        </w:rPr>
      </w:pPr>
      <w:r>
        <w:rPr>
          <w:rFonts w:ascii="Times New Roman" w:hAnsi="Times New Roman"/>
          <w:b/>
          <w:lang w:eastAsia="en-US"/>
        </w:rPr>
        <w:t xml:space="preserve"> 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10.1. Учет расчетов с физическими лицами (в том числе с сотрудниками учреждения) в рамках заключенных с ними г</w:t>
      </w:r>
      <w:r>
        <w:rPr>
          <w:rFonts w:ascii="Times New Roman" w:hAnsi="Times New Roman"/>
        </w:rPr>
        <w:t>ражданско-правовых договоров осуществляется с использованием счетов бюджетного учета 0 206 00 000 "Расчеты по выданным авансам", 0 302 00 000 "Расчеты по принятым обязательствам".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Для учета переплат в части сумм, подлежащих с согласия работников (уведомлен</w:t>
      </w:r>
      <w:r>
        <w:rPr>
          <w:rFonts w:ascii="Times New Roman" w:hAnsi="Times New Roman"/>
        </w:rPr>
        <w:t xml:space="preserve">ных о перерасчетах) удержанию из будущих начислений, применяется счет </w:t>
      </w:r>
      <w:r>
        <w:rPr>
          <w:rStyle w:val="afd"/>
          <w:rFonts w:ascii="Times New Roman" w:hAnsi="Times New Roman"/>
          <w:color w:val="000000"/>
        </w:rPr>
        <w:t>0 206 11 000</w:t>
      </w:r>
      <w:r>
        <w:rPr>
          <w:rFonts w:ascii="Times New Roman" w:hAnsi="Times New Roman"/>
        </w:rPr>
        <w:t xml:space="preserve">. К примеру, при переносе части отпуска в связи с болезнью во время отпуска; неотработанными днями отпуска, предоставленного авансом; другими аналогичными </w:t>
      </w:r>
      <w:r>
        <w:rPr>
          <w:rFonts w:ascii="Times New Roman" w:hAnsi="Times New Roman"/>
        </w:rPr>
        <w:lastRenderedPageBreak/>
        <w:t>ситуациями. При это</w:t>
      </w:r>
      <w:r>
        <w:rPr>
          <w:rFonts w:ascii="Times New Roman" w:hAnsi="Times New Roman"/>
        </w:rPr>
        <w:t>м отражается корректировка ранее внесенного начисления (части начисления) методом "Красное сторно". Затем на сумму корректировки вносится бухгалтерская запись по дебету счета 0 302 11 000 и кредиту счета 0 206 11 000 методом "Красное сторно".</w:t>
      </w:r>
    </w:p>
    <w:p w:rsidR="00E244F7" w:rsidRDefault="001E26CD">
      <w:pPr>
        <w:pStyle w:val="aff"/>
        <w:ind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(Основание: </w:t>
      </w:r>
      <w:r>
        <w:rPr>
          <w:rStyle w:val="afd"/>
          <w:rFonts w:ascii="Times New Roman" w:hAnsi="Times New Roman"/>
          <w:color w:val="000000"/>
          <w:sz w:val="24"/>
        </w:rPr>
        <w:t>п</w:t>
      </w:r>
      <w:r>
        <w:rPr>
          <w:rStyle w:val="afd"/>
          <w:rFonts w:ascii="Times New Roman" w:hAnsi="Times New Roman"/>
          <w:color w:val="000000"/>
          <w:sz w:val="24"/>
        </w:rPr>
        <w:t>.п. 202</w:t>
      </w:r>
      <w:r>
        <w:rPr>
          <w:rFonts w:ascii="Times New Roman" w:hAnsi="Times New Roman"/>
          <w:sz w:val="24"/>
        </w:rPr>
        <w:t xml:space="preserve">, </w:t>
      </w:r>
      <w:r>
        <w:rPr>
          <w:rStyle w:val="afd"/>
          <w:rFonts w:ascii="Times New Roman" w:hAnsi="Times New Roman"/>
          <w:color w:val="000000"/>
          <w:sz w:val="24"/>
        </w:rPr>
        <w:t>204</w:t>
      </w:r>
      <w:r>
        <w:rPr>
          <w:rFonts w:ascii="Times New Roman" w:hAnsi="Times New Roman"/>
          <w:sz w:val="24"/>
        </w:rPr>
        <w:t xml:space="preserve">, </w:t>
      </w:r>
      <w:r>
        <w:rPr>
          <w:rStyle w:val="afd"/>
          <w:rFonts w:ascii="Times New Roman" w:hAnsi="Times New Roman"/>
          <w:color w:val="000000"/>
          <w:sz w:val="24"/>
        </w:rPr>
        <w:t>254</w:t>
      </w:r>
      <w:r>
        <w:rPr>
          <w:rFonts w:ascii="Times New Roman" w:hAnsi="Times New Roman"/>
          <w:sz w:val="24"/>
        </w:rPr>
        <w:t xml:space="preserve"> Инструкции N 157н, </w:t>
      </w:r>
      <w:r>
        <w:rPr>
          <w:rStyle w:val="afd"/>
          <w:rFonts w:ascii="Times New Roman" w:hAnsi="Times New Roman"/>
          <w:color w:val="000000"/>
          <w:sz w:val="24"/>
        </w:rPr>
        <w:t>п. 80</w:t>
      </w:r>
      <w:r>
        <w:rPr>
          <w:rFonts w:ascii="Times New Roman" w:hAnsi="Times New Roman"/>
          <w:sz w:val="24"/>
        </w:rPr>
        <w:t xml:space="preserve"> Инструкции N 162н).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10.2 Аналитический учет по счету 0 205 00 000 "Расчеты по доходам" ведется по видам доходов (поступлений) в разрезе</w:t>
      </w:r>
      <w:r>
        <w:rPr>
          <w:rStyle w:val="afe"/>
          <w:rFonts w:ascii="Times New Roman" w:hAnsi="Times New Roman"/>
          <w:color w:val="FF0000"/>
        </w:rPr>
        <w:t xml:space="preserve"> 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t>- плательщиков;</w:t>
      </w:r>
    </w:p>
    <w:p w:rsidR="00E244F7" w:rsidRDefault="001E26CD">
      <w:pPr>
        <w:pStyle w:val="aff"/>
        <w:ind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(Основание: </w:t>
      </w:r>
      <w:r>
        <w:rPr>
          <w:rStyle w:val="afd"/>
          <w:rFonts w:ascii="Times New Roman" w:hAnsi="Times New Roman"/>
          <w:color w:val="000000"/>
          <w:sz w:val="24"/>
        </w:rPr>
        <w:t>п. 200</w:t>
      </w:r>
      <w:r>
        <w:rPr>
          <w:rFonts w:ascii="Times New Roman" w:hAnsi="Times New Roman"/>
          <w:sz w:val="24"/>
        </w:rPr>
        <w:t xml:space="preserve"> Инструкции N 157н).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10.</w:t>
      </w:r>
      <w:r>
        <w:rPr>
          <w:rFonts w:ascii="Times New Roman" w:hAnsi="Times New Roman"/>
        </w:rPr>
        <w:t>3. Поступление сумм оплаты, частичной оплаты в счет предстоящей реализации объектов нефинансовых активов, работ или услуг подлежит отражению по кредиту отдельного аналитического счета 0 205 00 000 "Расчеты по доходам" - "Авансы полученные".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Зачет предварит</w:t>
      </w:r>
      <w:r>
        <w:rPr>
          <w:rFonts w:ascii="Times New Roman" w:hAnsi="Times New Roman"/>
        </w:rPr>
        <w:t>ельной оплаты отражается по дебету счета 0 205 00 000 "Расчеты по доходам" (аналитический счет "Авансы полученные") и кредиту счета 0 205 00 000 "Расчеты по доходам".</w:t>
      </w:r>
    </w:p>
    <w:p w:rsidR="00E244F7" w:rsidRDefault="001E26CD">
      <w:pPr>
        <w:pStyle w:val="aff"/>
        <w:ind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(Основание: </w:t>
      </w:r>
      <w:r>
        <w:rPr>
          <w:rStyle w:val="afd"/>
          <w:rFonts w:ascii="Times New Roman" w:hAnsi="Times New Roman"/>
          <w:color w:val="000000"/>
          <w:sz w:val="24"/>
        </w:rPr>
        <w:t>п.п. 197</w:t>
      </w:r>
      <w:r>
        <w:rPr>
          <w:rFonts w:ascii="Times New Roman" w:hAnsi="Times New Roman"/>
          <w:sz w:val="24"/>
        </w:rPr>
        <w:t xml:space="preserve">, </w:t>
      </w:r>
      <w:r>
        <w:rPr>
          <w:rStyle w:val="afd"/>
          <w:rFonts w:ascii="Times New Roman" w:hAnsi="Times New Roman"/>
          <w:color w:val="000000"/>
          <w:sz w:val="24"/>
        </w:rPr>
        <w:t>199</w:t>
      </w:r>
      <w:r>
        <w:rPr>
          <w:rFonts w:ascii="Times New Roman" w:hAnsi="Times New Roman"/>
          <w:sz w:val="24"/>
        </w:rPr>
        <w:t xml:space="preserve"> Инструкции N 157н).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10.4. Доходы, полученные в результате осущ</w:t>
      </w:r>
      <w:r>
        <w:rPr>
          <w:rFonts w:ascii="Times New Roman" w:hAnsi="Times New Roman"/>
        </w:rPr>
        <w:t>ествления некассовых операций, отражаются обособленно с использованием дополнительных аналитических счетов, открываемых к счетам 0 205 00 000 "Расчеты по доходам", 0 208 00 000 "Расчеты с подотчетными лицами", 0 209 00 000 "Расчеты по ущербу и иным доходам</w:t>
      </w:r>
      <w:r>
        <w:rPr>
          <w:rFonts w:ascii="Times New Roman" w:hAnsi="Times New Roman"/>
        </w:rPr>
        <w:t>".</w:t>
      </w:r>
    </w:p>
    <w:p w:rsidR="00E244F7" w:rsidRDefault="001E26CD">
      <w:pPr>
        <w:pStyle w:val="aff"/>
        <w:ind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(Основание: </w:t>
      </w:r>
      <w:r>
        <w:rPr>
          <w:rStyle w:val="afd"/>
          <w:rFonts w:ascii="Times New Roman" w:hAnsi="Times New Roman"/>
          <w:color w:val="000000"/>
          <w:sz w:val="24"/>
        </w:rPr>
        <w:t>п.п. 199</w:t>
      </w:r>
      <w:r>
        <w:rPr>
          <w:rFonts w:ascii="Times New Roman" w:hAnsi="Times New Roman"/>
          <w:sz w:val="24"/>
        </w:rPr>
        <w:t xml:space="preserve">, </w:t>
      </w:r>
      <w:r>
        <w:rPr>
          <w:rStyle w:val="afd"/>
          <w:rFonts w:ascii="Times New Roman" w:hAnsi="Times New Roman"/>
          <w:color w:val="000000"/>
          <w:sz w:val="24"/>
        </w:rPr>
        <w:t>221</w:t>
      </w:r>
      <w:r>
        <w:rPr>
          <w:rFonts w:ascii="Times New Roman" w:hAnsi="Times New Roman"/>
          <w:sz w:val="24"/>
        </w:rPr>
        <w:t xml:space="preserve"> Инструкции N 157н).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10.5. Расчеты по суммам предварительных оплат, подлежащим возмещению контрагентами в случае расторжения договоров (контрактов), в том числе по решению суда, а также по суммам задолженности уволенных подотче</w:t>
      </w:r>
      <w:r>
        <w:rPr>
          <w:rFonts w:ascii="Times New Roman" w:hAnsi="Times New Roman"/>
        </w:rPr>
        <w:t>тных лиц, своевременно не возвращенным и не удержанным из зарплаты, задолженности за неотработанные дни отпуска при увольнении сотрудника, иным суммам излишне произведенных выплат учитываются на счете 0 209 30 000 в момент возникновения требований к их пла</w:t>
      </w:r>
      <w:r>
        <w:rPr>
          <w:rFonts w:ascii="Times New Roman" w:hAnsi="Times New Roman"/>
        </w:rPr>
        <w:t>тельщикам (начала претензионной работы).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10.6. В бюджетном учете и отчетности возврат на лицевой счет получателя бюджетных средств дебиторской задолженности прошлых лет отражается в разрезе тех кодов (составных частей кодов) классификации расходов бюджето</w:t>
      </w:r>
      <w:r>
        <w:rPr>
          <w:rFonts w:ascii="Times New Roman" w:hAnsi="Times New Roman"/>
        </w:rPr>
        <w:t>в, в разрезе которых отражались соответствующие выплаты по расходам в прошлые отчетные периоды. При отсутствии в текущем отчетном периоде указанных кодов (составных частей кодов) суммы возврата дебиторской задолженности прошлых лет по расходам отражаются п</w:t>
      </w:r>
      <w:r>
        <w:rPr>
          <w:rFonts w:ascii="Times New Roman" w:hAnsi="Times New Roman"/>
        </w:rPr>
        <w:t>о тем кодам, которые могут быть применены в целях отражения указанных расходов согласно действующему порядку применения кодов классификации расходов бюджетов.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10.7. Отражение в учете приобретенных прав пользования нематериальными активами, если срок их ис</w:t>
      </w:r>
      <w:r>
        <w:rPr>
          <w:rFonts w:ascii="Times New Roman" w:hAnsi="Times New Roman"/>
        </w:rPr>
        <w:t>пользования менее или равен 12 месяцам и приходятся на 2 разных отчетных года: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 Дебет КРБ 1 401 50 226 Кредит КРБ 1 302 26 73Х</w:t>
      </w:r>
      <w:r>
        <w:rPr>
          <w:rFonts w:ascii="Times New Roman" w:hAnsi="Times New Roman"/>
          <w:color w:val="000000" w:themeColor="text1"/>
        </w:rPr>
        <w:t>.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Учтенные на счете 401 50 расходы относятся на</w:t>
      </w: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  <w:color w:val="000000" w:themeColor="text1"/>
        </w:rPr>
        <w:t>затраты</w:t>
      </w:r>
      <w:r>
        <w:rPr>
          <w:rFonts w:ascii="Times New Roman" w:hAnsi="Times New Roman"/>
        </w:rPr>
        <w:t xml:space="preserve"> текущего года в конце отчетного года.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10.8. Ущерб от недостачи имущества на забалансовых счетах отражается с применением: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 счета 209 44 "Расчеты по доходам от возмещения ущерба имуществу (за исключением страховых возмещений)".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10.9. Ущерб от незаконного списания имущества отражается с примен</w:t>
      </w:r>
      <w:r>
        <w:rPr>
          <w:rFonts w:ascii="Times New Roman" w:hAnsi="Times New Roman"/>
        </w:rPr>
        <w:t>ением: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 счета 209 44 "Расчеты по доходам от возмещения ущерба имуществу (за исключением страховых возмещений)".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10.10. Корреспонденции счетов для расчетов по выплате социального пособия на погребение, 4-х дополнительных выходных дней по уходу за детьми-и</w:t>
      </w:r>
      <w:r>
        <w:rPr>
          <w:rFonts w:ascii="Times New Roman" w:hAnsi="Times New Roman"/>
        </w:rPr>
        <w:t>нвалидами.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10.10.1. Начисление расходов на оплату социального пособия на погребение и 4-х дополнительных дней по уходу за детьми-инвалидами отражается по дебету счета КРБ 1 303 05 831 и кредиту счетов КРБ 1 302 65 737, КРБ 1 302 66 737.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10.10.2. Начислен</w:t>
      </w:r>
      <w:r>
        <w:rPr>
          <w:rFonts w:ascii="Times New Roman" w:hAnsi="Times New Roman"/>
        </w:rPr>
        <w:t>ие страховых взносов с расходов на оплату 4-х дополнительных дней по уходу за детьми-инвалидами отражается по дебету счета КРБ 1 303 05 831 и кредиту счетов КРБ 1 303 ХХ 731.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10.10.3. Начисление задолженности ФСС РФ по возмещению расходов по выплате социа</w:t>
      </w:r>
      <w:r>
        <w:rPr>
          <w:rFonts w:ascii="Times New Roman" w:hAnsi="Times New Roman"/>
        </w:rPr>
        <w:t>льного пособия на погребение и 4-х дополнительных дней по уходу за детьми-инвалидами отражается по дебету счета КРБ 1 209 34 561 и кредиту счета КРБ 1 303 05 731.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10.11. Расчет и выплата заработной платы за декабрь производится на основании предварительно</w:t>
      </w:r>
      <w:r>
        <w:rPr>
          <w:rFonts w:ascii="Times New Roman" w:hAnsi="Times New Roman"/>
        </w:rPr>
        <w:t>го Табеля учета использования рабочего времени и рассматривается в качестве оценочного значения. На основании корректировочного Табеля, представленного в течение</w:t>
      </w: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</w:rPr>
        <w:t>3-х рабочих дней очередного года, в учете отражается уточнение начисленных сумм последним днем</w:t>
      </w:r>
      <w:r>
        <w:rPr>
          <w:rFonts w:ascii="Times New Roman" w:hAnsi="Times New Roman"/>
        </w:rPr>
        <w:t xml:space="preserve"> отчетного года.</w:t>
      </w:r>
    </w:p>
    <w:p w:rsidR="00E244F7" w:rsidRDefault="001E26CD">
      <w:pPr>
        <w:contextualSpacing/>
        <w:rPr>
          <w:rFonts w:ascii="Times New Roman" w:hAnsi="Times New Roman"/>
          <w:b/>
          <w:lang w:eastAsia="en-US"/>
        </w:rPr>
      </w:pPr>
      <w:r>
        <w:rPr>
          <w:rFonts w:ascii="Times New Roman" w:hAnsi="Times New Roman"/>
          <w:b/>
          <w:lang w:eastAsia="en-US"/>
        </w:rPr>
        <w:t xml:space="preserve"> </w:t>
      </w:r>
    </w:p>
    <w:p w:rsidR="00E244F7" w:rsidRDefault="00E244F7">
      <w:pPr>
        <w:contextualSpacing/>
        <w:rPr>
          <w:rFonts w:ascii="Times New Roman" w:hAnsi="Times New Roman"/>
          <w:b/>
          <w:lang w:eastAsia="en-US"/>
        </w:rPr>
      </w:pPr>
    </w:p>
    <w:p w:rsidR="00E244F7" w:rsidRDefault="00E244F7">
      <w:pPr>
        <w:contextualSpacing/>
        <w:rPr>
          <w:rFonts w:ascii="Times New Roman" w:hAnsi="Times New Roman"/>
          <w:b/>
          <w:lang w:eastAsia="en-US"/>
        </w:rPr>
      </w:pPr>
    </w:p>
    <w:p w:rsidR="00E244F7" w:rsidRDefault="001E26CD">
      <w:pPr>
        <w:shd w:val="clear" w:color="auto" w:fill="FFFFFF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lang w:eastAsia="en-US"/>
        </w:rPr>
        <w:t xml:space="preserve">11. </w:t>
      </w:r>
      <w:r>
        <w:rPr>
          <w:rFonts w:ascii="Times New Roman" w:hAnsi="Times New Roman"/>
          <w:b/>
          <w:szCs w:val="28"/>
        </w:rPr>
        <w:t>Резервы предстоящих расходов</w:t>
      </w:r>
    </w:p>
    <w:p w:rsidR="00E244F7" w:rsidRDefault="001E26CD">
      <w:pPr>
        <w:pStyle w:val="af5"/>
        <w:rPr>
          <w:sz w:val="24"/>
          <w:szCs w:val="24"/>
        </w:rPr>
      </w:pPr>
      <w:r>
        <w:rPr>
          <w:sz w:val="24"/>
        </w:rPr>
        <w:t>Формирование и отражение в бюджетном учете резервов предстоящих расходов производится по следующим правилам.</w:t>
      </w:r>
    </w:p>
    <w:p w:rsidR="00E244F7" w:rsidRDefault="00E244F7">
      <w:pPr>
        <w:pStyle w:val="af5"/>
        <w:rPr>
          <w:sz w:val="24"/>
          <w:szCs w:val="24"/>
        </w:rPr>
      </w:pPr>
    </w:p>
    <w:p w:rsidR="00E244F7" w:rsidRDefault="001E26CD">
      <w:pPr>
        <w:shd w:val="clear" w:color="auto" w:fill="FFFFFF"/>
        <w:rPr>
          <w:rFonts w:ascii="Times New Roman" w:hAnsi="Times New Roman"/>
        </w:rPr>
      </w:pPr>
      <w:r>
        <w:rPr>
          <w:rFonts w:ascii="Times New Roman" w:hAnsi="Times New Roman"/>
        </w:rPr>
        <w:t>11.1. Устанавливаются следующие единицы бюджетного учета по каждому виду резерва: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15.1.1.  Для резерва предстоящей оплаты отпусков за фактически отработанное время (компенсаций за неиспользованный отпуск) -</w:t>
      </w:r>
    </w:p>
    <w:p w:rsidR="00E244F7" w:rsidRDefault="001E26CD">
      <w:pPr>
        <w:ind w:firstLine="0"/>
        <w:rPr>
          <w:rStyle w:val="afe"/>
          <w:rFonts w:ascii="Times New Roman" w:hAnsi="Times New Roman"/>
          <w:b w:val="0"/>
          <w:color w:val="000000"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t>- все работники.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shd w:val="clear" w:color="auto" w:fill="FFFFFF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b/>
          <w:lang w:eastAsia="en-US"/>
        </w:rPr>
        <w:t>12. Событие после отчетной даты.</w:t>
      </w:r>
    </w:p>
    <w:p w:rsidR="00E244F7" w:rsidRDefault="001E26CD">
      <w:pPr>
        <w:pStyle w:val="23"/>
        <w:spacing w:line="240" w:lineRule="auto"/>
        <w:ind w:firstLine="0"/>
        <w:rPr>
          <w:rFonts w:ascii="Times New Roman" w:hAnsi="Times New Roman"/>
        </w:rPr>
      </w:pPr>
      <w:r>
        <w:rPr>
          <w:rFonts w:ascii="Times New Roman" w:hAnsi="Times New Roman"/>
          <w:szCs w:val="22"/>
        </w:rPr>
        <w:t>К событиям после отчетной даты относятся:</w:t>
      </w:r>
    </w:p>
    <w:p w:rsidR="00E244F7" w:rsidRDefault="001E26CD">
      <w:pPr>
        <w:pStyle w:val="23"/>
        <w:numPr>
          <w:ilvl w:val="0"/>
          <w:numId w:val="32"/>
        </w:numPr>
        <w:spacing w:line="240" w:lineRule="auto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  <w:szCs w:val="22"/>
        </w:rPr>
        <w:t>События, которые подтверждают условия хозяйственной деятельности, существовавшие на отчетную дату (далее – корректирующие события)</w:t>
      </w:r>
    </w:p>
    <w:p w:rsidR="00E244F7" w:rsidRDefault="001E26CD">
      <w:pPr>
        <w:pStyle w:val="23"/>
        <w:numPr>
          <w:ilvl w:val="0"/>
          <w:numId w:val="32"/>
        </w:numPr>
        <w:spacing w:line="240" w:lineRule="auto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  <w:szCs w:val="22"/>
        </w:rPr>
        <w:t>События, которые свидетельствуют об условиях хозяйственной деятельности, возникших после отчетной даты (далее – некорректирую</w:t>
      </w:r>
      <w:r>
        <w:rPr>
          <w:rFonts w:ascii="Times New Roman" w:hAnsi="Times New Roman"/>
          <w:szCs w:val="22"/>
        </w:rPr>
        <w:t>щее событие)</w:t>
      </w:r>
    </w:p>
    <w:p w:rsidR="00E244F7" w:rsidRDefault="001E26CD">
      <w:pPr>
        <w:pStyle w:val="23"/>
        <w:spacing w:line="240" w:lineRule="auto"/>
        <w:ind w:firstLine="0"/>
        <w:rPr>
          <w:rFonts w:ascii="Times New Roman" w:hAnsi="Times New Roman"/>
        </w:rPr>
      </w:pPr>
      <w:r>
        <w:rPr>
          <w:rFonts w:ascii="Times New Roman" w:hAnsi="Times New Roman"/>
          <w:szCs w:val="22"/>
        </w:rPr>
        <w:t>Существенное корректирующее событие после отчетной даты отражается в учете последним днем отчетного периода путем оформления дополнительной бухгалтерской записи, либо бухгалтерской записи, оформленной по способу "Красное сторно", и дополнитель</w:t>
      </w:r>
      <w:r>
        <w:rPr>
          <w:rFonts w:ascii="Times New Roman" w:hAnsi="Times New Roman"/>
          <w:szCs w:val="22"/>
        </w:rPr>
        <w:t>ной бухгалтерской записи до отражения бухгалтерских записей по завершению финансового года. Кроме этого информация о таких событиях раскрывается в Пояснительной записке к отчетности.</w:t>
      </w:r>
    </w:p>
    <w:p w:rsidR="00E244F7" w:rsidRDefault="001E26CD">
      <w:pPr>
        <w:pStyle w:val="23"/>
        <w:spacing w:line="240" w:lineRule="auto"/>
        <w:ind w:firstLine="0"/>
        <w:rPr>
          <w:rFonts w:ascii="Times New Roman" w:hAnsi="Times New Roman"/>
        </w:rPr>
      </w:pPr>
      <w:r>
        <w:rPr>
          <w:rFonts w:ascii="Times New Roman" w:hAnsi="Times New Roman"/>
          <w:szCs w:val="22"/>
        </w:rPr>
        <w:t>Решение о регистрации в бухгалтерской отчетности за отчетный год существе</w:t>
      </w:r>
      <w:r>
        <w:rPr>
          <w:rFonts w:ascii="Times New Roman" w:hAnsi="Times New Roman"/>
          <w:szCs w:val="22"/>
        </w:rPr>
        <w:t>нного корректирующего события принимает Главный бухгалтер Учреждения. Операция оформляется Бухгалтерской справкой (ф. 0504833).</w:t>
      </w:r>
    </w:p>
    <w:p w:rsidR="00E244F7" w:rsidRDefault="001E26CD">
      <w:pPr>
        <w:pStyle w:val="23"/>
        <w:spacing w:line="240" w:lineRule="auto"/>
        <w:ind w:firstLine="0"/>
        <w:rPr>
          <w:rFonts w:ascii="Times New Roman" w:hAnsi="Times New Roman"/>
        </w:rPr>
      </w:pPr>
      <w:r>
        <w:rPr>
          <w:rFonts w:ascii="Times New Roman" w:hAnsi="Times New Roman"/>
          <w:szCs w:val="22"/>
        </w:rPr>
        <w:lastRenderedPageBreak/>
        <w:t>Поступление после отчетной даты первичных учетных документов, оформляющих факты хозяйственной жизни, возникшие в отчетном период</w:t>
      </w:r>
      <w:r>
        <w:rPr>
          <w:rFonts w:ascii="Times New Roman" w:hAnsi="Times New Roman"/>
          <w:szCs w:val="22"/>
        </w:rPr>
        <w:t>е, не является событием после отчетной даты.</w:t>
      </w:r>
    </w:p>
    <w:p w:rsidR="00E244F7" w:rsidRDefault="001E26CD">
      <w:pPr>
        <w:pStyle w:val="af5"/>
        <w:rPr>
          <w:sz w:val="24"/>
          <w:szCs w:val="24"/>
          <w:lang w:eastAsia="en-US"/>
        </w:rPr>
      </w:pPr>
      <w:r>
        <w:rPr>
          <w:sz w:val="24"/>
        </w:rPr>
        <w:t>Некорректирующее событие после отчетной даты отражается в бухгалтерском учете путем выполнения бухгалтерских записей в периоде, следующем за отчетным. Информация о таких событиях отражается в текстовой части Поя</w:t>
      </w:r>
      <w:r>
        <w:rPr>
          <w:sz w:val="24"/>
        </w:rPr>
        <w:t>снительной записки к отчетности за отчетный период.</w:t>
      </w:r>
      <w:r>
        <w:rPr>
          <w:sz w:val="24"/>
          <w:szCs w:val="24"/>
          <w:lang w:eastAsia="en-US"/>
        </w:rPr>
        <w:t xml:space="preserve"> </w:t>
      </w:r>
    </w:p>
    <w:p w:rsidR="00E244F7" w:rsidRDefault="001E26CD">
      <w:pPr>
        <w:shd w:val="clear" w:color="auto" w:fill="FFFFFF"/>
        <w:ind w:firstLine="0"/>
        <w:rPr>
          <w:rFonts w:ascii="Calibri" w:hAnsi="Calibri"/>
          <w:sz w:val="22"/>
          <w:szCs w:val="22"/>
        </w:rPr>
      </w:pPr>
      <w:r>
        <w:rPr>
          <w:rFonts w:ascii="Times New Roman" w:hAnsi="Times New Roman"/>
          <w:lang w:eastAsia="en-US"/>
        </w:rPr>
        <w:t xml:space="preserve">(Основание: </w:t>
      </w:r>
      <w:r>
        <w:rPr>
          <w:rFonts w:ascii="Times New Roman" w:hAnsi="Times New Roman"/>
          <w:szCs w:val="22"/>
        </w:rPr>
        <w:t>п. 7 СГС «События после отчетной даты»)</w:t>
      </w:r>
      <w:r>
        <w:rPr>
          <w:rFonts w:ascii="Times New Roman" w:hAnsi="Times New Roman"/>
          <w:lang w:eastAsia="en-US"/>
        </w:rPr>
        <w:t>.</w:t>
      </w:r>
    </w:p>
    <w:p w:rsidR="00E244F7" w:rsidRDefault="001E26CD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rFonts w:ascii="Times New Roman" w:hAnsi="Times New Roman"/>
          <w:b/>
          <w:lang w:eastAsia="en-US"/>
        </w:rPr>
        <w:t xml:space="preserve">13. </w:t>
      </w:r>
      <w:r>
        <w:rPr>
          <w:rFonts w:ascii="Times New Roman" w:hAnsi="Times New Roman"/>
          <w:b/>
        </w:rPr>
        <w:t>Санкционирование расходов</w:t>
      </w:r>
    </w:p>
    <w:p w:rsidR="00E244F7" w:rsidRDefault="001E26CD">
      <w:pPr>
        <w:shd w:val="clear" w:color="auto" w:fill="FFFFFF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 xml:space="preserve">13.1. Учет бюджетных и денежных обязательств осуществляется на основании следующих документов, </w:t>
      </w:r>
      <w:r>
        <w:rPr>
          <w:rFonts w:ascii="Times New Roman" w:hAnsi="Times New Roman"/>
        </w:rPr>
        <w:t>подтверждающих их принятие</w:t>
      </w:r>
      <w:r>
        <w:rPr>
          <w:rFonts w:ascii="Times New Roman" w:hAnsi="Times New Roman"/>
          <w:color w:val="000000"/>
        </w:rPr>
        <w:t>:</w:t>
      </w:r>
    </w:p>
    <w:p w:rsidR="00E244F7" w:rsidRDefault="00E244F7">
      <w:pPr>
        <w:shd w:val="clear" w:color="auto" w:fill="FFFFFF"/>
        <w:rPr>
          <w:rFonts w:ascii="Times New Roman" w:hAnsi="Times New Roman"/>
          <w:color w:val="000000"/>
        </w:rPr>
      </w:pPr>
    </w:p>
    <w:p w:rsidR="00E244F7" w:rsidRDefault="00E244F7">
      <w:pPr>
        <w:shd w:val="clear" w:color="auto" w:fill="FFFFFF"/>
        <w:rPr>
          <w:rFonts w:ascii="Times New Roman" w:hAnsi="Times New Roman"/>
          <w:color w:val="000000"/>
        </w:rPr>
      </w:pPr>
    </w:p>
    <w:p w:rsidR="00E244F7" w:rsidRDefault="00E244F7">
      <w:pPr>
        <w:shd w:val="clear" w:color="auto" w:fill="FFFFFF"/>
        <w:rPr>
          <w:rFonts w:ascii="Times New Roman" w:hAnsi="Times New Roman"/>
          <w:color w:val="00000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7"/>
        <w:gridCol w:w="3606"/>
        <w:gridCol w:w="4795"/>
      </w:tblGrid>
      <w:tr w:rsidR="00E244F7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1E26CD">
            <w:pPr>
              <w:pStyle w:val="ConsPlusNormal"/>
              <w:jc w:val="both"/>
            </w:pPr>
            <w:r>
              <w:rPr>
                <w:rFonts w:ascii="Times New Roman" w:hAnsi="Times New Roman"/>
                <w:sz w:val="24"/>
              </w:rPr>
              <w:t>N п/п</w:t>
            </w: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1E26CD">
            <w:pPr>
              <w:pStyle w:val="ConsPlusNormal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Документ, на основании которого возникает бюджетное обязательство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jc w:val="center"/>
            </w:pPr>
            <w:r>
              <w:rPr>
                <w:rFonts w:ascii="Times New Roman" w:hAnsi="Times New Roman"/>
                <w:sz w:val="24"/>
              </w:rPr>
              <w:t>Документ, подтверждающий возникновение денежного обязательства</w:t>
            </w:r>
          </w:p>
        </w:tc>
      </w:tr>
      <w:tr w:rsidR="00E244F7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1E26CD">
            <w:pPr>
              <w:pStyle w:val="ConsPlusNormal"/>
              <w:jc w:val="center"/>
            </w:pPr>
            <w:bookmarkStart w:id="35" w:name="Par408"/>
            <w:bookmarkEnd w:id="35"/>
            <w:r>
              <w:rPr>
                <w:rFonts w:ascii="Times New Roman" w:hAnsi="Times New Roman"/>
                <w:sz w:val="24"/>
              </w:rPr>
              <w:t>11.</w:t>
            </w: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6" w:name="Par409"/>
            <w:bookmarkEnd w:id="36"/>
            <w:r>
              <w:rPr>
                <w:rFonts w:ascii="Times New Roman" w:hAnsi="Times New Roman" w:cs="Times New Roman"/>
                <w:sz w:val="24"/>
              </w:rPr>
              <w:t>Извещение об осуществлении закупки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Формирование денежного обязательства не предусматривается</w:t>
            </w:r>
          </w:p>
        </w:tc>
      </w:tr>
      <w:tr w:rsidR="00E244F7">
        <w:trPr>
          <w:cantSplit/>
        </w:trPr>
        <w:tc>
          <w:tcPr>
            <w:tcW w:w="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1E26CD">
            <w:pPr>
              <w:pStyle w:val="ConsPlusNormal"/>
              <w:jc w:val="center"/>
            </w:pPr>
            <w:bookmarkStart w:id="37" w:name="Par411"/>
            <w:bookmarkEnd w:id="37"/>
            <w:r>
              <w:rPr>
                <w:rFonts w:ascii="Times New Roman" w:hAnsi="Times New Roman"/>
                <w:sz w:val="24"/>
              </w:rPr>
              <w:t>22.</w:t>
            </w:r>
          </w:p>
        </w:tc>
        <w:bookmarkEnd w:id="11"/>
        <w:tc>
          <w:tcPr>
            <w:tcW w:w="3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1E26CD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Муниципальный контракт (договор) на поставку товаров, выполнение работ, оказание услуг для обеспечения муниципальных  нужд, сведения о котором подлежат включению в реестр контрактов</w:t>
            </w:r>
          </w:p>
          <w:p w:rsidR="00E244F7" w:rsidRDefault="00E244F7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Акт выполн</w:t>
            </w:r>
            <w:r>
              <w:rPr>
                <w:rFonts w:ascii="Times New Roman" w:hAnsi="Times New Roman"/>
                <w:sz w:val="24"/>
              </w:rPr>
              <w:t>енных работ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Акт об оказании услуг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Акт приема-передачи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Муниципальный контракт (в случае осуществления авансовых платежей в соответствии с условиями муниципального контракта, внесение арендной платы по муниципальному контракту)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Справка-расчет или иной документ, являющийся основанием для оплаты неустойки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Счет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Счет-фактура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 xml:space="preserve">Товарная накладная (унифицированная форма </w:t>
            </w:r>
            <w:hyperlink r:id="rId8" w:anchor="_blank" w:history="1">
              <w:r>
                <w:rPr>
                  <w:rStyle w:val="ListLabel4"/>
                  <w:rFonts w:ascii="Times New Roman" w:hAnsi="Times New Roman"/>
                  <w:color w:val="000000"/>
                  <w:sz w:val="24"/>
                </w:rPr>
                <w:t>N ТОРГ-12</w:t>
              </w:r>
            </w:hyperlink>
            <w:r>
              <w:rPr>
                <w:rFonts w:ascii="Times New Roman" w:hAnsi="Times New Roman"/>
                <w:sz w:val="24"/>
              </w:rPr>
              <w:t>) (ф. 0330212)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Универсальный передаточный документ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Чек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Иной документ, подтвержда</w:t>
            </w:r>
            <w:r>
              <w:rPr>
                <w:rFonts w:ascii="Times New Roman" w:hAnsi="Times New Roman"/>
                <w:sz w:val="24"/>
              </w:rPr>
              <w:t>ющий возникновение денежного обязательства получателя бюджетных средств (далее - иной документ, подтверждающий возникновение денежного обязательства) по бюджетному обязательству получателя бюджетных средств, возникшему на основании муниципального контракта</w:t>
            </w:r>
          </w:p>
        </w:tc>
      </w:tr>
      <w:tr w:rsidR="00E244F7">
        <w:trPr>
          <w:cantSplit/>
        </w:trPr>
        <w:tc>
          <w:tcPr>
            <w:tcW w:w="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1E26CD">
            <w:pPr>
              <w:pStyle w:val="ConsPlusNormal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>33.</w:t>
            </w:r>
          </w:p>
        </w:tc>
        <w:tc>
          <w:tcPr>
            <w:tcW w:w="3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8" w:name="Par425"/>
            <w:bookmarkEnd w:id="38"/>
            <w:r>
              <w:rPr>
                <w:rFonts w:ascii="Times New Roman" w:hAnsi="Times New Roman" w:cs="Times New Roman"/>
                <w:sz w:val="24"/>
              </w:rPr>
              <w:t>Муниципальный контракт (договор) на поставку товаров, выполнение работ, оказание услуг, сведения о котором не подлежат включению в реестры контрактов в соответствии с законодательством Российской Федерации о контрактной системе в сфере закупок товаро</w:t>
            </w:r>
            <w:r>
              <w:rPr>
                <w:rFonts w:ascii="Times New Roman" w:hAnsi="Times New Roman" w:cs="Times New Roman"/>
                <w:sz w:val="24"/>
              </w:rPr>
              <w:t>в, работ, услуг для обеспечения муниципальных нужд, договор (соглашение) (далее - договор), за исключением договоров, указанных в 12 настоящего перечня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Акт выполненных работ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Акт об оказании услуг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Акт приема-передачи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Договор (в случае осуществления авансовых платежей в соответствии с условиями договора, внесения арендной платы по договору)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Справка-расчет или иной документ, являющийся основанием для оплаты неустойки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Счет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Счет-фактура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 xml:space="preserve">Товарная накладная (унифицированная форма </w:t>
            </w:r>
            <w:hyperlink r:id="rId9" w:anchor="_blank" w:history="1">
              <w:r>
                <w:rPr>
                  <w:rStyle w:val="ListLabel4"/>
                  <w:rFonts w:ascii="Times New Roman" w:hAnsi="Times New Roman"/>
                  <w:color w:val="000000"/>
                  <w:sz w:val="24"/>
                </w:rPr>
                <w:t>N ТОРГ-12</w:t>
              </w:r>
            </w:hyperlink>
            <w:r>
              <w:rPr>
                <w:rFonts w:ascii="Times New Roman" w:hAnsi="Times New Roman"/>
                <w:sz w:val="24"/>
              </w:rPr>
              <w:t>) (ф. 0330212)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Универсальный передаточный документ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Чек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Иной документ, подтверждающий возникновение денежного обязательства по бюджетному обязательству получателя бюджетных средств, возникшему на основании договора</w:t>
            </w:r>
          </w:p>
        </w:tc>
      </w:tr>
      <w:tr w:rsidR="00E244F7">
        <w:trPr>
          <w:cantSplit/>
        </w:trPr>
        <w:tc>
          <w:tcPr>
            <w:tcW w:w="6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244F7" w:rsidRDefault="001E26CD">
            <w:pPr>
              <w:jc w:val="center"/>
            </w:pPr>
            <w:r>
              <w:t>44</w:t>
            </w:r>
          </w:p>
          <w:p w:rsidR="00E244F7" w:rsidRDefault="00E244F7">
            <w:pPr>
              <w:jc w:val="center"/>
            </w:pPr>
          </w:p>
        </w:tc>
        <w:tc>
          <w:tcPr>
            <w:tcW w:w="360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244F7" w:rsidRDefault="001E26CD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Соглашение о предоставлении из бюджета </w:t>
            </w:r>
            <w:r>
              <w:rPr>
                <w:rFonts w:ascii="Times New Roman" w:hAnsi="Times New Roman"/>
              </w:rPr>
              <w:t>Элисенваарского</w:t>
            </w:r>
            <w:r>
              <w:rPr>
                <w:rFonts w:ascii="Times New Roman" w:hAnsi="Times New Roman"/>
              </w:rPr>
              <w:t xml:space="preserve"> сельского поселения </w:t>
            </w:r>
            <w:r>
              <w:rPr>
                <w:rFonts w:ascii="Times New Roman" w:hAnsi="Times New Roman"/>
              </w:rPr>
              <w:t xml:space="preserve">другим бюджетам бюджетной системы межбюджетного трансферта в форме субсидии, субвенции, иного межбюджетного трансферта, сведения о котором подлежат либо не подлежат включению в реестр соглашений (договоров) о предоставлении субсидий, бюджетных инвестиций, </w:t>
            </w:r>
            <w:r>
              <w:rPr>
                <w:rFonts w:ascii="Times New Roman" w:hAnsi="Times New Roman"/>
              </w:rPr>
              <w:t>межбюджетных трансфертов (далее - реестр соглашений)</w:t>
            </w:r>
          </w:p>
          <w:p w:rsidR="00E244F7" w:rsidRDefault="00E244F7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ind w:firstLine="0"/>
              <w:jc w:val="left"/>
            </w:pPr>
            <w:r>
              <w:t>График перечисления межбюджетного трансферта, предусмотренный соглашением о предоставлении межбюджетного трансферта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left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3606" w:type="dxa"/>
            <w:vMerge/>
            <w:tcBorders>
              <w:left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Распоряжение о совершении казначейских платежей (далее - распоряжение), необходимое для оплаты денежных обязательств.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left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3606" w:type="dxa"/>
            <w:vMerge/>
            <w:tcBorders>
              <w:left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Иной документ, подтверждающий возникновение денежного обязательства по бюджетному обязательству получателя бюджетных средств, возникшему на основании соглашения о предоставлении межбюджетного трансферта</w:t>
            </w:r>
          </w:p>
        </w:tc>
      </w:tr>
      <w:tr w:rsidR="00E244F7">
        <w:trPr>
          <w:cantSplit/>
        </w:trPr>
        <w:tc>
          <w:tcPr>
            <w:tcW w:w="6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244F7" w:rsidRDefault="001E26CD">
            <w:pPr>
              <w:jc w:val="center"/>
            </w:pPr>
            <w:r>
              <w:t>55</w:t>
            </w:r>
          </w:p>
        </w:tc>
        <w:tc>
          <w:tcPr>
            <w:tcW w:w="360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244F7" w:rsidRDefault="001E26CD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Нормативный правовой акт, предусматривающий предо</w:t>
            </w:r>
            <w:r>
              <w:rPr>
                <w:rFonts w:ascii="Times New Roman" w:hAnsi="Times New Roman"/>
              </w:rPr>
              <w:t xml:space="preserve">ставление из бюджета </w:t>
            </w:r>
            <w:r>
              <w:rPr>
                <w:rFonts w:ascii="Times New Roman" w:hAnsi="Times New Roman"/>
              </w:rPr>
              <w:t>Элисенваарского</w:t>
            </w:r>
            <w:r>
              <w:rPr>
                <w:rFonts w:ascii="Times New Roman" w:hAnsi="Times New Roman"/>
              </w:rPr>
              <w:t xml:space="preserve"> сельского поселения другим бюджетам бюджетной системы </w:t>
            </w:r>
            <w:r>
              <w:rPr>
                <w:rFonts w:ascii="Times New Roman" w:hAnsi="Times New Roman"/>
              </w:rPr>
              <w:lastRenderedPageBreak/>
              <w:t>межбюджетного трансферта в форме субсидии, субвенции, иного межбюджетного трансферта, если порядком (правилами) предоставления указанного межбюджетного трансферта не</w:t>
            </w:r>
            <w:r>
              <w:rPr>
                <w:rFonts w:ascii="Times New Roman" w:hAnsi="Times New Roman"/>
              </w:rPr>
              <w:t xml:space="preserve"> предусмотрено заключение соглашения о предоставлении межбюджетного трансферта (далее - нормативный правовой акт о предоставлении межбюджетного трансферта), сведения о котором подлежат либо не подлежат включению в реестр соглашений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ind w:firstLine="0"/>
              <w:jc w:val="left"/>
            </w:pPr>
            <w:r>
              <w:lastRenderedPageBreak/>
              <w:t>Распоряжение о перечисле</w:t>
            </w:r>
            <w:r>
              <w:t xml:space="preserve">нии межбюджетного трансферта из бюджета </w:t>
            </w:r>
            <w:r>
              <w:t>Элисенваарского</w:t>
            </w:r>
            <w:r>
              <w:t xml:space="preserve"> сельского поселения по форме, установленной в соответствии с порядком (правилами) предоставления указанного межбюджетного трансферта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left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3606" w:type="dxa"/>
            <w:vMerge/>
            <w:tcBorders>
              <w:left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Распоряжение, необходимое для оплаты денежных обязательств, и документ, подтверждающий возникновение денежных обязательств получателя бюджетных средств, источником финансового обеспечения которых являются межбюджетные трансферты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360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Иной документ, подтверждающий возникновение денежного обязательства по бюджетному обязательству получателя бюджетных средств, возникшему на основании нормативного правового акта о предоставлении межбюджетного трансферта, имеющего целевое назначение</w:t>
            </w:r>
          </w:p>
        </w:tc>
      </w:tr>
      <w:tr w:rsidR="00E244F7">
        <w:trPr>
          <w:cantSplit/>
        </w:trPr>
        <w:tc>
          <w:tcPr>
            <w:tcW w:w="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1E26CD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66.</w:t>
            </w:r>
          </w:p>
        </w:tc>
        <w:tc>
          <w:tcPr>
            <w:tcW w:w="3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</w:t>
            </w:r>
            <w:r>
              <w:rPr>
                <w:rFonts w:ascii="Times New Roman" w:hAnsi="Times New Roman" w:cs="Times New Roman"/>
                <w:sz w:val="24"/>
              </w:rPr>
              <w:t>говор (соглашение) о предоставлении субсидии муниципальному бюджетному или автономному учреждению, сведения о котором подлежат либо не подлежат включению в реестр соглашений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График перечисления субсидии, предусмотренный договором (соглашением) о предоставл</w:t>
            </w:r>
            <w:r>
              <w:rPr>
                <w:rFonts w:ascii="Times New Roman" w:hAnsi="Times New Roman"/>
                <w:sz w:val="24"/>
              </w:rPr>
              <w:t>ении субсидии муниципальному бюджетному или автономному учреждению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Предварительный отчет о выполнении муниципального задания (ф. 0506501)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Иной документ, подтверждающий возникновение денежного обязательства по бюджетному обязательству получателя бюджетных средств, возникшему на основании договора (соглашения) о предоставлении субсидии муниципальному бюджетному или автономному учреждению</w:t>
            </w:r>
          </w:p>
        </w:tc>
      </w:tr>
      <w:tr w:rsidR="00E244F7">
        <w:trPr>
          <w:cantSplit/>
        </w:trPr>
        <w:tc>
          <w:tcPr>
            <w:tcW w:w="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1E26CD">
            <w:pPr>
              <w:pStyle w:val="ConsPlusNormal"/>
              <w:jc w:val="center"/>
            </w:pPr>
            <w:r>
              <w:rPr>
                <w:rFonts w:ascii="Times New Roman" w:hAnsi="Times New Roman"/>
                <w:sz w:val="24"/>
              </w:rPr>
              <w:t>7</w:t>
            </w:r>
            <w:r>
              <w:rPr>
                <w:rFonts w:ascii="Times New Roman" w:hAnsi="Times New Roman" w:cs="Times New Roman"/>
                <w:sz w:val="24"/>
              </w:rPr>
              <w:t>7</w:t>
            </w:r>
            <w:r>
              <w:t>.</w:t>
            </w:r>
          </w:p>
        </w:tc>
        <w:tc>
          <w:tcPr>
            <w:tcW w:w="3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9" w:name="Par443"/>
            <w:bookmarkEnd w:id="39"/>
            <w:r>
              <w:rPr>
                <w:rFonts w:ascii="Times New Roman" w:hAnsi="Times New Roman" w:cs="Times New Roman"/>
                <w:sz w:val="24"/>
              </w:rPr>
              <w:t>Договор (соглашение) о предоставлении субсидии юридическому лицу, иному юридическому лицу (за исключением субсидии муниципальному бюджетному или автономному учреждению) или индивидуальному предпринимателю или физическому лицу - производителю товаров, работ</w:t>
            </w:r>
            <w:r>
              <w:rPr>
                <w:rFonts w:ascii="Times New Roman" w:hAnsi="Times New Roman" w:cs="Times New Roman"/>
                <w:sz w:val="24"/>
              </w:rPr>
              <w:t xml:space="preserve">, услуг или договор, заключенный в связи с предоставлением бюджетных инвестиций юридическому лицу в соответствии с бюджетным законодательством Российской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Федерации (далее - договор (соглашение) о предоставлении субсидии и бюджетных инвестиций юридическому </w:t>
            </w:r>
            <w:r>
              <w:rPr>
                <w:rFonts w:ascii="Times New Roman" w:hAnsi="Times New Roman" w:cs="Times New Roman"/>
                <w:sz w:val="24"/>
              </w:rPr>
              <w:t>лицу), сведения о котором подлежат либо не подлежат включению в реестр соглашений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lastRenderedPageBreak/>
              <w:t>Акт выполненных работ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Акт об оказании услуг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Акт приема-передачи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Договор, заключаемый в рамках исполнения договоров (соглашений) о предоставлении целевых субсидий и бюджетных инвестиций юридическому лицу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ind w:firstLine="0"/>
              <w:jc w:val="left"/>
            </w:pPr>
            <w:r>
              <w:t>Распоряжение юридического лица (в случае осуществления в соответствии с законодательством Российской Федерации каз</w:t>
            </w:r>
            <w:r>
              <w:t>начейского сопровождения договора (соглашения) о предоставлении субсидии и бюджетных инвестиций юридическому лицу)</w:t>
            </w:r>
          </w:p>
          <w:p w:rsidR="00E244F7" w:rsidRDefault="00E244F7">
            <w:pPr>
              <w:pStyle w:val="ConsPlusNormal"/>
              <w:rPr>
                <w:rFonts w:ascii="Times New Roman" w:hAnsi="Times New Roman"/>
              </w:rPr>
            </w:pP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Справка-расчет или иной документ, являющийся основанием для оплаты неустойки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Счет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Счет-фактура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 xml:space="preserve">Товарная накладная (унифицированная форма </w:t>
            </w:r>
            <w:hyperlink r:id="rId10" w:anchor="_blank" w:history="1">
              <w:r>
                <w:rPr>
                  <w:rStyle w:val="ListLabel4"/>
                  <w:rFonts w:ascii="Times New Roman" w:hAnsi="Times New Roman"/>
                  <w:color w:val="000000"/>
                  <w:sz w:val="24"/>
                </w:rPr>
                <w:t>N ТОРГ-12</w:t>
              </w:r>
            </w:hyperlink>
            <w:r>
              <w:rPr>
                <w:rFonts w:ascii="Times New Roman" w:hAnsi="Times New Roman"/>
                <w:sz w:val="24"/>
              </w:rPr>
              <w:t>) (ф. 0330212)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Чек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В случае предоставления субсидии юридическому лицу на возмещение фактически произведенных расходов (недополученных доходов):</w:t>
            </w:r>
          </w:p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отчет о выполнении условий, установленных при предоставлении субсидии юридическому лицу, в соответствии с порядком (правилами) пред</w:t>
            </w:r>
            <w:r>
              <w:rPr>
                <w:rFonts w:ascii="Times New Roman" w:hAnsi="Times New Roman"/>
                <w:sz w:val="24"/>
              </w:rPr>
              <w:t>оставления субсидии юридическому лицу;</w:t>
            </w:r>
          </w:p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документы, подтверждающие фактически произведенные расходы (недополученные доходы) в соответствии с порядком (правилами) предоставления субсидии юридическому лицу;</w:t>
            </w:r>
          </w:p>
          <w:p w:rsidR="00E244F7" w:rsidRDefault="001E26CD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 xml:space="preserve">заявка на перечисление субсидии юридическому лицу по </w:t>
            </w:r>
            <w:r>
              <w:rPr>
                <w:rFonts w:ascii="Times New Roman" w:hAnsi="Times New Roman"/>
                <w:sz w:val="24"/>
              </w:rPr>
              <w:t xml:space="preserve">форме, установленной в соответствии с порядком (правилами) предоставления указанной субсидии (далее - Заявка на перечисление субсидии юридическому лицу) (при </w:t>
            </w:r>
          </w:p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наличии)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ind w:firstLine="0"/>
              <w:jc w:val="left"/>
            </w:pPr>
            <w:r>
              <w:t xml:space="preserve">Казначейское обеспечение обязательств (код </w:t>
            </w:r>
            <w:hyperlink r:id="rId11" w:history="1">
              <w:r>
                <w:t>формы</w:t>
              </w:r>
            </w:hyperlink>
            <w:r>
              <w:t xml:space="preserve"> по ОКУД 0506110)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Иной документ, подтверждающий возникновение денежного обязательства по</w:t>
            </w:r>
            <w:r>
              <w:rPr>
                <w:rFonts w:ascii="Times New Roman" w:hAnsi="Times New Roman"/>
                <w:sz w:val="24"/>
              </w:rPr>
              <w:t xml:space="preserve"> бюджетному обязательству получателя бюджетных средств, возникшему на основании договора (соглашения) о предоставлении субсидии и бюджетных инвестиций юридическому лицу</w:t>
            </w:r>
          </w:p>
        </w:tc>
      </w:tr>
      <w:tr w:rsidR="00E244F7">
        <w:trPr>
          <w:cantSplit/>
        </w:trPr>
        <w:tc>
          <w:tcPr>
            <w:tcW w:w="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1E26CD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88.</w:t>
            </w:r>
          </w:p>
        </w:tc>
        <w:tc>
          <w:tcPr>
            <w:tcW w:w="3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40" w:name="Par459"/>
            <w:bookmarkEnd w:id="40"/>
            <w:r>
              <w:rPr>
                <w:rFonts w:ascii="Times New Roman" w:hAnsi="Times New Roman" w:cs="Times New Roman"/>
                <w:sz w:val="24"/>
              </w:rPr>
              <w:t>Нормативный правовой акт, предусматривающий предоставление субсидии юридическому л</w:t>
            </w:r>
            <w:r>
              <w:rPr>
                <w:rFonts w:ascii="Times New Roman" w:hAnsi="Times New Roman" w:cs="Times New Roman"/>
                <w:sz w:val="24"/>
              </w:rPr>
              <w:t>ицу, если порядком (правилами) предоставления указанной субсидии не предусмотрено заключение договора (соглашения) о предоставлении субсидии юридическому лицу (далее - нормативный правовой акт о предоставлении субсидии юридическому лицу), сведения о которо</w:t>
            </w:r>
            <w:r>
              <w:rPr>
                <w:rFonts w:ascii="Times New Roman" w:hAnsi="Times New Roman" w:cs="Times New Roman"/>
                <w:sz w:val="24"/>
              </w:rPr>
              <w:t>м подлежат либо не подлежат включению в реестр соглашений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В случае предоставления субсидии юридическому лицу на возмещение фактически произведенных расходов (недополученных доходов):</w:t>
            </w:r>
          </w:p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отчет о выполнении условий, установленных при предоставлении субсидии юридическому лицу, в соответствии с порядком (правилами) предоставления субсидии юридическому лицу;</w:t>
            </w:r>
          </w:p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документы, подтверждающие фактически произведенные расходы (недополученные доходы) в с</w:t>
            </w:r>
            <w:r>
              <w:rPr>
                <w:rFonts w:ascii="Times New Roman" w:hAnsi="Times New Roman"/>
                <w:sz w:val="24"/>
              </w:rPr>
              <w:t>оответствии с порядком (правилами) предоставления субсидии юридическому лицу;</w:t>
            </w:r>
          </w:p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Заявка на перечисление субсидии юридическому лицу (при наличии)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ind w:firstLine="0"/>
              <w:jc w:val="left"/>
            </w:pPr>
            <w:r>
              <w:t xml:space="preserve">Распоряжение юридического лица (в случае осуществления в соответствии с законодательством Российской Федерации </w:t>
            </w:r>
            <w:r>
              <w:t>казначейского сопровождения предоставления субсидии юридическому лицу)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Иной документ, подтверждающий возникновение денежного обязательства по бюджетному обязательству получателя бюджетных средств, возникшему на основании нормативного правового акта о предоставлении субсидии юридическому лицу</w:t>
            </w:r>
          </w:p>
        </w:tc>
      </w:tr>
      <w:tr w:rsidR="00E244F7">
        <w:trPr>
          <w:cantSplit/>
        </w:trPr>
        <w:tc>
          <w:tcPr>
            <w:tcW w:w="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1E26CD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99.</w:t>
            </w:r>
          </w:p>
        </w:tc>
        <w:tc>
          <w:tcPr>
            <w:tcW w:w="3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1E26CD">
            <w:pPr>
              <w:ind w:firstLine="0"/>
              <w:jc w:val="left"/>
              <w:rPr>
                <w:rFonts w:ascii="Times New Roman" w:hAnsi="Times New Roman"/>
              </w:rPr>
            </w:pPr>
            <w:bookmarkStart w:id="41" w:name="Par466"/>
            <w:bookmarkEnd w:id="41"/>
            <w:r>
              <w:rPr>
                <w:rFonts w:ascii="Times New Roman" w:hAnsi="Times New Roman"/>
              </w:rPr>
              <w:t>Приказ об утверждении Штатног</w:t>
            </w:r>
            <w:r>
              <w:rPr>
                <w:rFonts w:ascii="Times New Roman" w:hAnsi="Times New Roman"/>
              </w:rPr>
              <w:t>о расписания с расчетом годового фонда оплаты труда (иной документ, подтверждающий возникновение бюджетного обязательства, содержащий расчет годового объема оплаты труда (денежного содержания, денежного довольствия)</w:t>
            </w:r>
          </w:p>
          <w:p w:rsidR="00E244F7" w:rsidRDefault="00E244F7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Записка-расчет об исчислении среднего з</w:t>
            </w:r>
            <w:r>
              <w:rPr>
                <w:rFonts w:ascii="Times New Roman" w:hAnsi="Times New Roman"/>
                <w:sz w:val="24"/>
              </w:rPr>
              <w:t xml:space="preserve">аработка при предоставлении отпуска, увольнении и других случаях </w:t>
            </w:r>
            <w:hyperlink r:id="rId12" w:anchor="_blank" w:history="1">
              <w:r>
                <w:rPr>
                  <w:rStyle w:val="ListLabel4"/>
                  <w:rFonts w:ascii="Times New Roman" w:hAnsi="Times New Roman"/>
                  <w:color w:val="000000"/>
                  <w:sz w:val="24"/>
                </w:rPr>
                <w:t>(ф. 0504425)</w:t>
              </w:r>
            </w:hyperlink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 xml:space="preserve">Расчетно-платежная ведомость </w:t>
            </w:r>
            <w:hyperlink r:id="rId13" w:anchor="_blank" w:history="1">
              <w:r>
                <w:rPr>
                  <w:rStyle w:val="ListLabel4"/>
                  <w:rFonts w:ascii="Times New Roman" w:hAnsi="Times New Roman"/>
                  <w:color w:val="000000"/>
                  <w:sz w:val="24"/>
                </w:rPr>
                <w:t>(ф. 0504401)</w:t>
              </w:r>
            </w:hyperlink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 xml:space="preserve">Расчетная ведомость </w:t>
            </w:r>
            <w:hyperlink r:id="rId14" w:anchor="_blank" w:history="1">
              <w:r>
                <w:rPr>
                  <w:rStyle w:val="ListLabel4"/>
                  <w:rFonts w:ascii="Times New Roman" w:hAnsi="Times New Roman"/>
                  <w:color w:val="000000"/>
                  <w:sz w:val="24"/>
                </w:rPr>
                <w:t>(ф. 0504402)</w:t>
              </w:r>
            </w:hyperlink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Иной документ, подтверждающий возникновение денежного обязательства по бюджетному обязательству получателя бюджетных средств, возникшему по реализации трудовых функций работника в соответствии с трудовым законодательством Российской Федерации, законодатель</w:t>
            </w:r>
            <w:r>
              <w:rPr>
                <w:rFonts w:ascii="Times New Roman" w:hAnsi="Times New Roman"/>
                <w:sz w:val="24"/>
              </w:rPr>
              <w:t>ством о муниципальной службе</w:t>
            </w:r>
          </w:p>
        </w:tc>
      </w:tr>
      <w:tr w:rsidR="00E244F7">
        <w:trPr>
          <w:cantSplit/>
        </w:trPr>
        <w:tc>
          <w:tcPr>
            <w:tcW w:w="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1E26CD">
            <w:pPr>
              <w:pStyle w:val="ConsPlusNormal"/>
              <w:jc w:val="center"/>
              <w:rPr>
                <w:rFonts w:ascii="Times New Roman" w:hAnsi="Times New Roman"/>
              </w:rPr>
            </w:pPr>
            <w:bookmarkStart w:id="42" w:name="Par471"/>
            <w:bookmarkEnd w:id="42"/>
            <w:r>
              <w:rPr>
                <w:rFonts w:ascii="Times New Roman" w:hAnsi="Times New Roman"/>
                <w:sz w:val="24"/>
              </w:rPr>
              <w:t>110.</w:t>
            </w:r>
          </w:p>
        </w:tc>
        <w:tc>
          <w:tcPr>
            <w:tcW w:w="3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Исполнительный документ (исполнительный лист, судебный приказ) (далее - исполнительный документ)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 xml:space="preserve">Бухгалтерская справка </w:t>
            </w:r>
            <w:hyperlink r:id="rId15" w:anchor="_blank" w:history="1">
              <w:r>
                <w:rPr>
                  <w:rStyle w:val="ListLabel4"/>
                  <w:rFonts w:ascii="Times New Roman" w:hAnsi="Times New Roman"/>
                  <w:color w:val="000000"/>
                  <w:sz w:val="24"/>
                </w:rPr>
                <w:t>(ф. 0504833)</w:t>
              </w:r>
            </w:hyperlink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График выплат по исполнительному документу, предусматривающему выплаты периодического характера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Исполнительный документ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Справка-расчет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Иной документ, подтверждающий возникновение денежного обязательства по бюджетному обязательству получателя бюджетных средств, возникшему на основании исполнительного документа</w:t>
            </w:r>
          </w:p>
        </w:tc>
      </w:tr>
      <w:tr w:rsidR="00E244F7">
        <w:trPr>
          <w:cantSplit/>
        </w:trPr>
        <w:tc>
          <w:tcPr>
            <w:tcW w:w="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1E26CD">
            <w:pPr>
              <w:pStyle w:val="ConsPlusNormal"/>
              <w:jc w:val="center"/>
              <w:rPr>
                <w:rFonts w:ascii="Times New Roman" w:hAnsi="Times New Roman"/>
              </w:rPr>
            </w:pPr>
            <w:bookmarkStart w:id="43" w:name="Par478"/>
            <w:bookmarkEnd w:id="43"/>
            <w:r>
              <w:rPr>
                <w:rFonts w:ascii="Times New Roman" w:hAnsi="Times New Roman"/>
                <w:sz w:val="24"/>
              </w:rPr>
              <w:t>111.</w:t>
            </w:r>
          </w:p>
        </w:tc>
        <w:tc>
          <w:tcPr>
            <w:tcW w:w="3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Решение налогового органа о взыскании налога, сбора, пеней и штрафов (далее - решение налогового органа)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 xml:space="preserve">Бухгалтерская справка </w:t>
            </w:r>
            <w:hyperlink r:id="rId16" w:anchor="_blank" w:history="1">
              <w:r>
                <w:rPr>
                  <w:rStyle w:val="ListLabel4"/>
                  <w:rFonts w:ascii="Times New Roman" w:hAnsi="Times New Roman"/>
                  <w:color w:val="000000"/>
                  <w:sz w:val="24"/>
                </w:rPr>
                <w:t>(ф. 0504833)</w:t>
              </w:r>
            </w:hyperlink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Решение налогового органа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Справка-расчет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Иной документ, подтверждающий возникновение денежного обязательства по бюджетному обязательству получателя бюджетных средств, возникшему на основании решения налогового органа</w:t>
            </w:r>
          </w:p>
        </w:tc>
      </w:tr>
      <w:tr w:rsidR="00E244F7">
        <w:trPr>
          <w:cantSplit/>
        </w:trPr>
        <w:tc>
          <w:tcPr>
            <w:tcW w:w="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1E26CD">
            <w:pPr>
              <w:pStyle w:val="ConsPlusNormal"/>
              <w:jc w:val="center"/>
              <w:rPr>
                <w:rFonts w:ascii="Times New Roman" w:hAnsi="Times New Roman"/>
              </w:rPr>
            </w:pPr>
            <w:bookmarkStart w:id="44" w:name="Par484"/>
            <w:bookmarkEnd w:id="44"/>
            <w:r>
              <w:rPr>
                <w:rFonts w:ascii="Times New Roman" w:hAnsi="Times New Roman"/>
                <w:sz w:val="24"/>
              </w:rPr>
              <w:t>112.</w:t>
            </w:r>
          </w:p>
        </w:tc>
        <w:tc>
          <w:tcPr>
            <w:tcW w:w="3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45" w:name="Par485"/>
            <w:bookmarkEnd w:id="45"/>
            <w:r>
              <w:rPr>
                <w:rFonts w:ascii="Times New Roman" w:hAnsi="Times New Roman" w:cs="Times New Roman"/>
                <w:sz w:val="24"/>
              </w:rPr>
              <w:t xml:space="preserve">Документ, не определенный </w:t>
            </w:r>
            <w:hyperlink r:id="rId17" w:anchor="_blank" w:history="1">
              <w:r>
                <w:rPr>
                  <w:rStyle w:val="ListLabel4"/>
                  <w:rFonts w:ascii="Times New Roman" w:hAnsi="Times New Roman" w:cs="Times New Roman"/>
                  <w:color w:val="000000"/>
                  <w:sz w:val="24"/>
                </w:rPr>
                <w:t>пунктами 2</w:t>
              </w:r>
            </w:hyperlink>
            <w:r>
              <w:rPr>
                <w:rFonts w:ascii="Times New Roman" w:hAnsi="Times New Roman" w:cs="Times New Roman"/>
                <w:sz w:val="24"/>
              </w:rPr>
              <w:t>-11 настоящего перечня, в соответствии с которым возникает бюджетное обязательство получателя бюджетных средств:</w:t>
            </w:r>
          </w:p>
          <w:p w:rsidR="00E244F7" w:rsidRDefault="001E26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закон, иной нормативный (муниципальный)  правовой акт, в соответ</w:t>
            </w:r>
            <w:r>
              <w:rPr>
                <w:rFonts w:ascii="Times New Roman" w:hAnsi="Times New Roman" w:cs="Times New Roman"/>
                <w:sz w:val="24"/>
              </w:rPr>
              <w:t>ствии с которыми возникают публичные нормативные обязательства (публичные обязательства),  обязательства по уплате взносов,  обязательства по уплате платежей в бюджет (не требующие заключения договора);</w:t>
            </w:r>
          </w:p>
          <w:p w:rsidR="00E244F7" w:rsidRDefault="001E26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договор, расчет по которому в соответствии с законо</w:t>
            </w:r>
            <w:r>
              <w:rPr>
                <w:rFonts w:ascii="Times New Roman" w:hAnsi="Times New Roman" w:cs="Times New Roman"/>
                <w:sz w:val="24"/>
              </w:rPr>
              <w:t>дательством Российской Федерации осуществляется наличными деньгами, если получателем бюджетных средств в Федеральное казначейство не направлены информация и документы по указанному договору для их включения в реестр контрактов;</w:t>
            </w:r>
          </w:p>
          <w:p w:rsidR="00E244F7" w:rsidRDefault="001E26C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договор на оказание услуг,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выполнение работ, заключенный получателем бюджетных средств с физическим лицом, не являющимся индивидуальным предпринимателем;</w:t>
            </w:r>
          </w:p>
          <w:p w:rsidR="00E244F7" w:rsidRDefault="001E26CD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акт сверки взаимных расчетов;</w:t>
            </w:r>
          </w:p>
          <w:p w:rsidR="00E244F7" w:rsidRDefault="001E26CD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-решение суда о расторжении муниципального контракта (договора);</w:t>
            </w:r>
          </w:p>
          <w:p w:rsidR="00E244F7" w:rsidRDefault="001E26CD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уведомление об одностороннем отказе от исполнения муниципального контракта по истечении 30 дней со дня его размещения муниципальным заказчиком в реестре контрактов. - Иной документ, в соответствии с которым возникает бюджетное обязательство получателя бю</w:t>
            </w:r>
            <w:r>
              <w:rPr>
                <w:rFonts w:ascii="Times New Roman" w:hAnsi="Times New Roman"/>
              </w:rPr>
              <w:t>джетных средств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Авансовый отчет </w:t>
            </w:r>
            <w:hyperlink r:id="rId18" w:anchor="_blank" w:history="1">
              <w:r>
                <w:rPr>
                  <w:rStyle w:val="ListLabel4"/>
                  <w:rFonts w:ascii="Times New Roman" w:hAnsi="Times New Roman"/>
                  <w:color w:val="000000"/>
                  <w:sz w:val="24"/>
                </w:rPr>
                <w:t>(ф. 0504505)</w:t>
              </w:r>
            </w:hyperlink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Акт выполненных работ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Акт приема-передачи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Акт об оказании услуг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Акт сверки взаимных расчетов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Договор на оказание услуг, выполнение работ, заключенный получателем бюджетных средств с физическим лицом, не являющимся индивидуальным предпринимателем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Заявление на выдачу денежных средств под отчет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Заявление физического лица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ind w:firstLine="0"/>
              <w:jc w:val="left"/>
            </w:pPr>
            <w:r>
              <w:t>Решение суда о расторжении муниципального контракта (договора)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ind w:firstLine="0"/>
              <w:jc w:val="left"/>
            </w:pPr>
            <w:r>
              <w:t>Уведомление об одностороннем отказе от исполнения муниципального контракта по истечении 30 дней со дня его размещения муниципальным заказчиком в реестре контрактов</w:t>
            </w:r>
          </w:p>
          <w:p w:rsidR="00E244F7" w:rsidRDefault="00E244F7">
            <w:pPr>
              <w:jc w:val="left"/>
            </w:pP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Квитанция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Приказ о направлении в командировку, с прилагаемым расчетом командировочных сумм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Служебная записка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Справка-расчет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Счет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Счет-фактура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 xml:space="preserve">Товарная накладная (унифицированная форма </w:t>
            </w:r>
            <w:hyperlink r:id="rId19" w:anchor="_blank" w:history="1">
              <w:r>
                <w:rPr>
                  <w:rStyle w:val="ListLabel4"/>
                  <w:rFonts w:ascii="Times New Roman" w:hAnsi="Times New Roman"/>
                  <w:color w:val="000000"/>
                  <w:sz w:val="24"/>
                </w:rPr>
                <w:t>N ТОРГ-12</w:t>
              </w:r>
            </w:hyperlink>
            <w:r>
              <w:rPr>
                <w:rFonts w:ascii="Times New Roman" w:hAnsi="Times New Roman"/>
                <w:sz w:val="24"/>
              </w:rPr>
              <w:t>) (ф. 0330212)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Универсальный передаточный документ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pStyle w:val="ConsPlusNormal"/>
              <w:ind w:firstLine="0"/>
            </w:pPr>
            <w:r>
              <w:rPr>
                <w:rFonts w:ascii="Times New Roman" w:hAnsi="Times New Roman"/>
                <w:sz w:val="24"/>
              </w:rPr>
              <w:t>Чек</w:t>
            </w:r>
          </w:p>
        </w:tc>
      </w:tr>
      <w:tr w:rsidR="00E244F7">
        <w:trPr>
          <w:cantSplit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3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4F7" w:rsidRDefault="00E244F7">
            <w:pPr>
              <w:pStyle w:val="ConsPlusNormal"/>
              <w:jc w:val="both"/>
            </w:pP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F7" w:rsidRDefault="001E26CD">
            <w:pPr>
              <w:ind w:firstLine="0"/>
              <w:jc w:val="left"/>
            </w:pPr>
            <w:r>
              <w:t>Иной документ, подтверждающий возникновение денежного обязательства по бюджетному обязательству получателя бюджетных средств</w:t>
            </w:r>
          </w:p>
        </w:tc>
      </w:tr>
    </w:tbl>
    <w:p w:rsidR="00E244F7" w:rsidRDefault="00E244F7">
      <w:pPr>
        <w:shd w:val="clear" w:color="auto" w:fill="FFFFFF"/>
        <w:rPr>
          <w:rFonts w:ascii="Times New Roman" w:hAnsi="Times New Roman"/>
          <w:color w:val="000000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13.2. Аналитический учет обязательств ведется в разрезе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Style w:val="afe"/>
          <w:rFonts w:ascii="Times New Roman" w:hAnsi="Times New Roman"/>
          <w:b w:val="0"/>
          <w:bCs w:val="0"/>
          <w:color w:val="000000"/>
        </w:rPr>
        <w:t>- контрактов (договоров).</w:t>
      </w:r>
    </w:p>
    <w:p w:rsidR="00E244F7" w:rsidRDefault="001E26CD">
      <w:pPr>
        <w:ind w:firstLine="0"/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</w:rPr>
        <w:t xml:space="preserve">(Основание: </w:t>
      </w:r>
      <w:r>
        <w:rPr>
          <w:rStyle w:val="afd"/>
          <w:rFonts w:ascii="Times New Roman" w:hAnsi="Times New Roman"/>
          <w:color w:val="000000"/>
        </w:rPr>
        <w:t>п. 313</w:t>
      </w:r>
      <w:r>
        <w:rPr>
          <w:rFonts w:ascii="Times New Roman" w:hAnsi="Times New Roman"/>
        </w:rPr>
        <w:t xml:space="preserve"> Инструкции N 157н).</w:t>
      </w:r>
      <w:r>
        <w:rPr>
          <w:rFonts w:ascii="Times New Roman" w:hAnsi="Times New Roman"/>
          <w:lang w:eastAsia="en-US"/>
        </w:rPr>
        <w:t xml:space="preserve"> </w:t>
      </w:r>
    </w:p>
    <w:p w:rsidR="00E244F7" w:rsidRDefault="00E244F7">
      <w:pPr>
        <w:ind w:firstLine="0"/>
        <w:contextualSpacing/>
      </w:pPr>
    </w:p>
    <w:p w:rsidR="00E244F7" w:rsidRDefault="001E26CD">
      <w:pPr>
        <w:ind w:firstLine="0"/>
      </w:pPr>
      <w:r>
        <w:rPr>
          <w:rFonts w:ascii="Times New Roman" w:hAnsi="Times New Roman"/>
        </w:rPr>
        <w:t>13.3. Учет плановых назначений (лимитов бюджетных обязательств, бюджетных ассигнований, финансового обеспечения) по доходам, расходам и источникам финансирования дефицита бюджета (средств учреждения) осуществляется на счетах санкционирования в разрезе кодо</w:t>
      </w:r>
      <w:r>
        <w:rPr>
          <w:rFonts w:ascii="Times New Roman" w:hAnsi="Times New Roman"/>
        </w:rPr>
        <w:t xml:space="preserve">в бюджетной классификации (в том числе в разрезе кодов КОСГУ) согласно той детализации доходов, расходов и источников финансирования дефицита бюджета (средств учреждения) по кодам бюджетной классификации (в том числе по кодам КОСГУ), которая предусмотрена </w:t>
      </w:r>
      <w:r>
        <w:rPr>
          <w:rFonts w:ascii="Times New Roman" w:hAnsi="Times New Roman"/>
        </w:rPr>
        <w:t>при доведении (утверждении) плановых назначений (лимитов бюджетных обязательств, бюджетных ассигнований, финансового обеспечения).</w:t>
      </w:r>
    </w:p>
    <w:p w:rsidR="00E244F7" w:rsidRDefault="00E244F7">
      <w:pPr>
        <w:ind w:firstLine="0"/>
        <w:contextualSpacing/>
      </w:pP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b/>
          <w:lang w:eastAsia="en-US"/>
        </w:rPr>
        <w:t>14. Дебиторская и кредиторская задолженность</w:t>
      </w:r>
    </w:p>
    <w:p w:rsidR="00E244F7" w:rsidRDefault="00E244F7">
      <w:pPr>
        <w:contextualSpacing/>
        <w:rPr>
          <w:rFonts w:ascii="Times New Roman" w:hAnsi="Times New Roman"/>
          <w:b/>
          <w:lang w:eastAsia="en-US"/>
        </w:rPr>
      </w:pPr>
    </w:p>
    <w:p w:rsidR="00E244F7" w:rsidRDefault="001E26CD">
      <w:pPr>
        <w:pStyle w:val="23"/>
        <w:spacing w:line="240" w:lineRule="auto"/>
        <w:ind w:firstLine="0"/>
        <w:rPr>
          <w:rFonts w:ascii="Times New Roman" w:hAnsi="Times New Roman"/>
          <w:szCs w:val="22"/>
        </w:rPr>
      </w:pPr>
      <w:r>
        <w:rPr>
          <w:rFonts w:ascii="Times New Roman" w:hAnsi="Times New Roman"/>
          <w:lang w:eastAsia="en-US"/>
        </w:rPr>
        <w:t xml:space="preserve">14.1. </w:t>
      </w:r>
      <w:r>
        <w:rPr>
          <w:rFonts w:ascii="Times New Roman" w:hAnsi="Times New Roman"/>
          <w:szCs w:val="22"/>
        </w:rPr>
        <w:t xml:space="preserve">Дебиторская задолженность признается сомнительной на основании решения Комиссии по поступлению и выбытию активов в случае: </w:t>
      </w:r>
    </w:p>
    <w:p w:rsidR="00E244F7" w:rsidRDefault="001E26CD">
      <w:pPr>
        <w:pStyle w:val="23"/>
        <w:numPr>
          <w:ilvl w:val="0"/>
          <w:numId w:val="33"/>
        </w:numPr>
        <w:spacing w:line="240" w:lineRule="auto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  <w:szCs w:val="22"/>
        </w:rPr>
        <w:t>если с момента установленного срока ее погашения прошло более 90 календарных дней, и</w:t>
      </w:r>
    </w:p>
    <w:p w:rsidR="00E244F7" w:rsidRDefault="001E26CD">
      <w:pPr>
        <w:pStyle w:val="23"/>
        <w:numPr>
          <w:ilvl w:val="0"/>
          <w:numId w:val="33"/>
        </w:numPr>
        <w:spacing w:line="240" w:lineRule="auto"/>
        <w:ind w:left="0" w:firstLine="0"/>
        <w:rPr>
          <w:rFonts w:ascii="Calibri" w:hAnsi="Calibri"/>
        </w:rPr>
      </w:pPr>
      <w:r>
        <w:rPr>
          <w:rFonts w:ascii="Times New Roman" w:hAnsi="Times New Roman"/>
          <w:szCs w:val="22"/>
        </w:rPr>
        <w:t xml:space="preserve">если в указанном периоде учреждение направляло </w:t>
      </w:r>
      <w:r>
        <w:rPr>
          <w:rFonts w:ascii="Times New Roman" w:hAnsi="Times New Roman"/>
          <w:szCs w:val="22"/>
        </w:rPr>
        <w:t>акты сверки расчетов, но не получало подтверждения их получения.</w:t>
      </w:r>
      <w:r>
        <w:t xml:space="preserve"> </w:t>
      </w:r>
      <w:r>
        <w:rPr>
          <w:rFonts w:ascii="Times New Roman" w:hAnsi="Times New Roman"/>
          <w:szCs w:val="22"/>
        </w:rPr>
        <w:t>Сомнительная дебиторская задолженность списывается с балансового учета. Резерв по сомнительным долгам формируется в сумме балансовой стоимости списанной дебиторской задолженности – на забалан</w:t>
      </w:r>
      <w:r>
        <w:rPr>
          <w:rFonts w:ascii="Times New Roman" w:hAnsi="Times New Roman"/>
          <w:szCs w:val="22"/>
        </w:rPr>
        <w:t xml:space="preserve">совом счете 04. 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(Основание:</w:t>
      </w:r>
      <w:r>
        <w:rPr>
          <w:rFonts w:ascii="Times New Roman" w:hAnsi="Times New Roman"/>
          <w:lang w:eastAsia="en-US"/>
        </w:rPr>
        <w:t xml:space="preserve"> </w:t>
      </w:r>
      <w:r>
        <w:rPr>
          <w:rFonts w:ascii="Times New Roman" w:hAnsi="Times New Roman"/>
          <w:szCs w:val="22"/>
        </w:rPr>
        <w:t>Письма Минфина России от 26.04.2019 г. N 02-07-10/31169 и от 14.06.2019 г. N 02-07-10/43339</w:t>
      </w:r>
      <w:r>
        <w:rPr>
          <w:rFonts w:ascii="Times New Roman" w:hAnsi="Times New Roman"/>
          <w:lang w:eastAsia="en-US"/>
        </w:rPr>
        <w:t>, пункт 11 СГС «Доходы»).</w:t>
      </w:r>
    </w:p>
    <w:p w:rsidR="00E244F7" w:rsidRDefault="00E244F7">
      <w:pPr>
        <w:contextualSpacing/>
        <w:rPr>
          <w:rFonts w:ascii="Times New Roman" w:hAnsi="Times New Roman"/>
          <w:lang w:eastAsia="en-US"/>
        </w:rPr>
      </w:pPr>
    </w:p>
    <w:p w:rsidR="00E244F7" w:rsidRDefault="001E26CD">
      <w:pPr>
        <w:pStyle w:val="23"/>
        <w:spacing w:line="240" w:lineRule="auto"/>
        <w:ind w:firstLine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14.2. Дебиторская задолженность по доходам признается безнадежной к взысканию в случаях выявления:</w:t>
      </w:r>
    </w:p>
    <w:p w:rsidR="00E244F7" w:rsidRDefault="001E26CD">
      <w:pPr>
        <w:pStyle w:val="23"/>
        <w:numPr>
          <w:ilvl w:val="0"/>
          <w:numId w:val="34"/>
        </w:numPr>
        <w:spacing w:line="240" w:lineRule="auto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  <w:szCs w:val="22"/>
        </w:rPr>
        <w:t>долгов, по</w:t>
      </w:r>
      <w:r>
        <w:rPr>
          <w:rFonts w:ascii="Times New Roman" w:hAnsi="Times New Roman"/>
          <w:szCs w:val="22"/>
        </w:rPr>
        <w:t xml:space="preserve"> которым истек установленный срок исковой давности;</w:t>
      </w:r>
    </w:p>
    <w:p w:rsidR="00E244F7" w:rsidRDefault="001E26CD">
      <w:pPr>
        <w:pStyle w:val="23"/>
        <w:numPr>
          <w:ilvl w:val="0"/>
          <w:numId w:val="34"/>
        </w:numPr>
        <w:spacing w:line="240" w:lineRule="auto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  <w:szCs w:val="22"/>
        </w:rPr>
        <w:lastRenderedPageBreak/>
        <w:t>долгов, по которым обязательство прекращено вследствие невозможности его исполнения;</w:t>
      </w:r>
    </w:p>
    <w:p w:rsidR="00E244F7" w:rsidRDefault="001E26CD">
      <w:pPr>
        <w:pStyle w:val="23"/>
        <w:numPr>
          <w:ilvl w:val="0"/>
          <w:numId w:val="34"/>
        </w:numPr>
        <w:spacing w:line="240" w:lineRule="auto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  <w:szCs w:val="22"/>
        </w:rPr>
        <w:t>долгов, по которым обязательство прекращено на основании акта органа государственной власти или органа местного самоупр</w:t>
      </w:r>
      <w:r>
        <w:rPr>
          <w:rFonts w:ascii="Times New Roman" w:hAnsi="Times New Roman"/>
          <w:szCs w:val="22"/>
        </w:rPr>
        <w:t>авления;</w:t>
      </w:r>
    </w:p>
    <w:p w:rsidR="00E244F7" w:rsidRDefault="001E26CD">
      <w:pPr>
        <w:pStyle w:val="23"/>
        <w:numPr>
          <w:ilvl w:val="0"/>
          <w:numId w:val="34"/>
        </w:numPr>
        <w:spacing w:line="240" w:lineRule="auto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  <w:szCs w:val="22"/>
        </w:rPr>
        <w:t>долгов, по которым обязательство прекращено смертью должника;</w:t>
      </w:r>
    </w:p>
    <w:p w:rsidR="00E244F7" w:rsidRDefault="001E26CD">
      <w:pPr>
        <w:pStyle w:val="23"/>
        <w:numPr>
          <w:ilvl w:val="0"/>
          <w:numId w:val="34"/>
        </w:numPr>
        <w:spacing w:line="240" w:lineRule="auto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  <w:szCs w:val="22"/>
        </w:rPr>
        <w:t>долгов, по которым обязательство прекращено ликвидацией организации.</w:t>
      </w:r>
    </w:p>
    <w:p w:rsidR="00E244F7" w:rsidRDefault="001E26CD">
      <w:pPr>
        <w:pStyle w:val="23"/>
        <w:spacing w:line="240" w:lineRule="auto"/>
        <w:ind w:firstLine="0"/>
        <w:rPr>
          <w:rFonts w:ascii="Times New Roman" w:hAnsi="Times New Roman"/>
        </w:rPr>
      </w:pPr>
      <w:r>
        <w:rPr>
          <w:rFonts w:ascii="Times New Roman" w:hAnsi="Times New Roman"/>
          <w:szCs w:val="22"/>
        </w:rPr>
        <w:t xml:space="preserve">Списание дебиторской задолженности безнадежной к взысканию оформляется </w:t>
      </w:r>
      <w:r>
        <w:rPr>
          <w:rFonts w:ascii="Times New Roman" w:hAnsi="Times New Roman"/>
          <w:szCs w:val="22"/>
        </w:rPr>
        <w:t xml:space="preserve">Решением Комиссии по поступлению и выбытию активов с забалансового счета 04 по Приказу Руководителя Учреждения. </w:t>
      </w:r>
    </w:p>
    <w:p w:rsidR="00E244F7" w:rsidRDefault="001E26CD">
      <w:pPr>
        <w:pStyle w:val="23"/>
        <w:spacing w:line="240" w:lineRule="auto"/>
        <w:ind w:firstLine="0"/>
        <w:rPr>
          <w:rFonts w:ascii="Times New Roman" w:hAnsi="Times New Roman"/>
          <w:szCs w:val="22"/>
        </w:rPr>
      </w:pPr>
      <w:r>
        <w:rPr>
          <w:rFonts w:ascii="Times New Roman" w:hAnsi="Times New Roman"/>
          <w:lang w:eastAsia="en-US"/>
        </w:rPr>
        <w:t xml:space="preserve">(Основание: </w:t>
      </w:r>
      <w:r>
        <w:rPr>
          <w:rFonts w:ascii="Times New Roman" w:hAnsi="Times New Roman"/>
          <w:szCs w:val="22"/>
        </w:rPr>
        <w:t>ст. 196, ст. 416, ст. 417, ст. 418, ст. 419  ГК РФ).</w:t>
      </w:r>
    </w:p>
    <w:p w:rsidR="00E244F7" w:rsidRDefault="00E244F7">
      <w:pPr>
        <w:contextualSpacing/>
        <w:rPr>
          <w:rFonts w:ascii="Times New Roman" w:hAnsi="Times New Roman"/>
          <w:lang w:eastAsia="en-US"/>
        </w:rPr>
      </w:pPr>
    </w:p>
    <w:p w:rsidR="00E244F7" w:rsidRDefault="00E244F7">
      <w:pPr>
        <w:contextualSpacing/>
        <w:rPr>
          <w:rFonts w:ascii="Times New Roman" w:hAnsi="Times New Roman"/>
          <w:lang w:eastAsia="en-US"/>
        </w:rPr>
      </w:pPr>
    </w:p>
    <w:p w:rsidR="00E244F7" w:rsidRDefault="001E26CD">
      <w:pPr>
        <w:pStyle w:val="23"/>
        <w:spacing w:line="240" w:lineRule="auto"/>
        <w:ind w:firstLine="0"/>
        <w:rPr>
          <w:rFonts w:ascii="Times New Roman" w:hAnsi="Times New Roman"/>
          <w:szCs w:val="22"/>
        </w:rPr>
      </w:pPr>
      <w:r>
        <w:rPr>
          <w:rFonts w:ascii="Times New Roman" w:hAnsi="Times New Roman"/>
          <w:lang w:eastAsia="en-US"/>
        </w:rPr>
        <w:t xml:space="preserve">14.3. </w:t>
      </w:r>
      <w:r>
        <w:rPr>
          <w:rFonts w:ascii="Times New Roman" w:hAnsi="Times New Roman"/>
          <w:szCs w:val="22"/>
        </w:rPr>
        <w:t>Кредиторская задолженность списывается с балансовых счетов решением Ко</w:t>
      </w:r>
      <w:r>
        <w:rPr>
          <w:rFonts w:ascii="Times New Roman" w:hAnsi="Times New Roman"/>
          <w:szCs w:val="22"/>
        </w:rPr>
        <w:t xml:space="preserve">миссии по поступлению и выбытию активах: </w:t>
      </w:r>
    </w:p>
    <w:p w:rsidR="00E244F7" w:rsidRDefault="001E26CD">
      <w:pPr>
        <w:pStyle w:val="23"/>
        <w:numPr>
          <w:ilvl w:val="0"/>
          <w:numId w:val="40"/>
        </w:numPr>
        <w:spacing w:line="240" w:lineRule="auto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  <w:szCs w:val="22"/>
        </w:rPr>
        <w:t>в случаях, аналогичных признания дебиторской задолженности безнадежной к взысканию;</w:t>
      </w:r>
    </w:p>
    <w:p w:rsidR="00E244F7" w:rsidRDefault="001E26CD">
      <w:pPr>
        <w:pStyle w:val="23"/>
        <w:numPr>
          <w:ilvl w:val="0"/>
          <w:numId w:val="40"/>
        </w:numPr>
        <w:spacing w:line="240" w:lineRule="auto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  <w:szCs w:val="22"/>
        </w:rPr>
        <w:t>при истечении срока исковой давности;</w:t>
      </w:r>
    </w:p>
    <w:p w:rsidR="00E244F7" w:rsidRDefault="001E26CD">
      <w:pPr>
        <w:pStyle w:val="23"/>
        <w:numPr>
          <w:ilvl w:val="0"/>
          <w:numId w:val="40"/>
        </w:numPr>
        <w:spacing w:line="240" w:lineRule="auto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  <w:szCs w:val="22"/>
        </w:rPr>
        <w:t>при не подтверждении кредитором по результатам инвентаризации;</w:t>
      </w:r>
    </w:p>
    <w:p w:rsidR="00E244F7" w:rsidRDefault="001E26CD">
      <w:pPr>
        <w:pStyle w:val="23"/>
        <w:numPr>
          <w:ilvl w:val="0"/>
          <w:numId w:val="40"/>
        </w:numPr>
        <w:spacing w:line="240" w:lineRule="auto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  <w:szCs w:val="22"/>
        </w:rPr>
        <w:t>в случае, если требования, вы</w:t>
      </w:r>
      <w:r>
        <w:rPr>
          <w:rFonts w:ascii="Times New Roman" w:hAnsi="Times New Roman"/>
          <w:szCs w:val="22"/>
        </w:rPr>
        <w:t>текающие из условий договора (контракта), не были предъявлены кредитором к учреждению в установленном порядке;</w:t>
      </w:r>
    </w:p>
    <w:p w:rsidR="00E244F7" w:rsidRDefault="001E26CD">
      <w:pPr>
        <w:pStyle w:val="23"/>
        <w:spacing w:line="240" w:lineRule="auto"/>
        <w:ind w:firstLine="0"/>
        <w:rPr>
          <w:rFonts w:ascii="Times New Roman" w:hAnsi="Times New Roman"/>
        </w:rPr>
      </w:pPr>
      <w:r>
        <w:rPr>
          <w:rFonts w:ascii="Times New Roman" w:hAnsi="Times New Roman"/>
          <w:szCs w:val="22"/>
        </w:rPr>
        <w:t>Суммы подлежат списанию на забалансовый счет 20 «Задолженность, невостребованная кредиторами». В случае,</w:t>
      </w:r>
      <w:r>
        <w:rPr>
          <w:rFonts w:ascii="Times New Roman" w:hAnsi="Times New Roman"/>
          <w:szCs w:val="22"/>
        </w:rPr>
        <w:t xml:space="preserve"> если по результатам инвентаризации выявлена невостребованная кредиторская задолженность с истекшим сроком исковой давности, информация о невостребованной кредиторской задолженности на забалансовом счете 20 "Задолженность, невостребованная кредиторами" не </w:t>
      </w:r>
      <w:r>
        <w:rPr>
          <w:rFonts w:ascii="Times New Roman" w:hAnsi="Times New Roman"/>
          <w:szCs w:val="22"/>
        </w:rPr>
        <w:t>отражается (Письмо Минфина России от 25 мая 2020 г. N 02-07-05/43271).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Кредиторская задолженность списывается отдельно по каждому обязательству (кредитору).</w:t>
      </w:r>
    </w:p>
    <w:p w:rsidR="00E244F7" w:rsidRDefault="001E26CD">
      <w:pPr>
        <w:contextualSpacing/>
        <w:rPr>
          <w:rFonts w:ascii="Times New Roman" w:hAnsi="Times New Roman"/>
          <w:szCs w:val="22"/>
        </w:rPr>
      </w:pPr>
      <w:r>
        <w:rPr>
          <w:rFonts w:ascii="Times New Roman" w:hAnsi="Times New Roman"/>
          <w:lang w:eastAsia="en-US"/>
        </w:rPr>
        <w:t xml:space="preserve">(Основание: пункты 371, 372 Инструкции к Единому плану счетов № 157н., </w:t>
      </w:r>
      <w:r>
        <w:rPr>
          <w:rFonts w:ascii="Times New Roman" w:hAnsi="Times New Roman"/>
          <w:szCs w:val="22"/>
        </w:rPr>
        <w:t>ст. 196 ГК РФ, Глава 26 ГК Р</w:t>
      </w:r>
      <w:r>
        <w:rPr>
          <w:rFonts w:ascii="Times New Roman" w:hAnsi="Times New Roman"/>
          <w:szCs w:val="22"/>
        </w:rPr>
        <w:t xml:space="preserve">Ф). </w:t>
      </w:r>
    </w:p>
    <w:p w:rsidR="00E244F7" w:rsidRDefault="00E244F7">
      <w:pPr>
        <w:contextualSpacing/>
        <w:rPr>
          <w:rFonts w:ascii="Times New Roman" w:hAnsi="Times New Roman"/>
          <w:lang w:eastAsia="en-US"/>
        </w:rPr>
      </w:pPr>
    </w:p>
    <w:p w:rsidR="00E244F7" w:rsidRDefault="001E26CD">
      <w:pPr>
        <w:contextualSpacing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15. Учет на забалансовых счетах</w:t>
      </w:r>
    </w:p>
    <w:p w:rsidR="00E244F7" w:rsidRDefault="00E244F7">
      <w:pPr>
        <w:contextualSpacing/>
        <w:rPr>
          <w:rFonts w:ascii="Times New Roman" w:hAnsi="Times New Roman"/>
          <w:b/>
          <w:szCs w:val="28"/>
        </w:rPr>
      </w:pPr>
    </w:p>
    <w:p w:rsidR="00E244F7" w:rsidRDefault="001E26CD">
      <w:pPr>
        <w:ind w:firstLine="0"/>
        <w:rPr>
          <w:rFonts w:ascii="Times New Roman" w:hAnsi="Times New Roman"/>
          <w:szCs w:val="28"/>
        </w:rPr>
      </w:pPr>
      <w:bookmarkStart w:id="46" w:name="sub_1520"/>
      <w:r>
        <w:rPr>
          <w:rFonts w:ascii="Times New Roman" w:hAnsi="Times New Roman"/>
        </w:rPr>
        <w:t xml:space="preserve">15.1. Если иное не предусмотрено положениями </w:t>
      </w:r>
      <w:r>
        <w:rPr>
          <w:rStyle w:val="afd"/>
          <w:rFonts w:ascii="Times New Roman" w:hAnsi="Times New Roman"/>
          <w:color w:val="000000"/>
        </w:rPr>
        <w:t>п.п. 332</w:t>
      </w:r>
      <w:r>
        <w:rPr>
          <w:rFonts w:ascii="Times New Roman" w:hAnsi="Times New Roman"/>
        </w:rPr>
        <w:t xml:space="preserve"> - </w:t>
      </w:r>
      <w:r>
        <w:rPr>
          <w:rStyle w:val="afd"/>
          <w:rFonts w:ascii="Times New Roman" w:hAnsi="Times New Roman"/>
          <w:color w:val="000000"/>
        </w:rPr>
        <w:t>394</w:t>
      </w:r>
      <w:r>
        <w:rPr>
          <w:rFonts w:ascii="Times New Roman" w:hAnsi="Times New Roman"/>
        </w:rPr>
        <w:t xml:space="preserve"> Инструкции N 157н и настоящей Учетной политикой, имущество, учитываемое на забалансовых счетах, отражается</w:t>
      </w:r>
      <w:r>
        <w:rPr>
          <w:rStyle w:val="afe"/>
          <w:rFonts w:ascii="Times New Roman" w:hAnsi="Times New Roman"/>
          <w:color w:val="000000"/>
        </w:rPr>
        <w:t>:</w:t>
      </w:r>
      <w:bookmarkEnd w:id="46"/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в условной оценке 1 объект, 1 рубль - при нулев</w:t>
      </w:r>
      <w:r>
        <w:rPr>
          <w:rFonts w:ascii="Times New Roman" w:hAnsi="Times New Roman"/>
        </w:rPr>
        <w:t>ой остаточной стоимости или при отсутствии стоимостных оценок.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15.2. Все материальные ценности, а также иные активы и обязательства, учитываемые на забалансовых счетах, инвентаризируются в порядке и в сроки, установленные для объектов, учитываемых на бала</w:t>
      </w:r>
      <w:r>
        <w:rPr>
          <w:rFonts w:ascii="Times New Roman" w:hAnsi="Times New Roman"/>
        </w:rPr>
        <w:t>нсе.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15.3. В целях формирования бюджетной отчетности аналитический учет на забалансовых счетах </w:t>
      </w:r>
      <w:r>
        <w:rPr>
          <w:rStyle w:val="afd"/>
          <w:rFonts w:ascii="Times New Roman" w:hAnsi="Times New Roman"/>
          <w:color w:val="000000"/>
        </w:rPr>
        <w:t>17</w:t>
      </w:r>
      <w:r>
        <w:rPr>
          <w:rFonts w:ascii="Times New Roman" w:hAnsi="Times New Roman"/>
        </w:rPr>
        <w:t xml:space="preserve"> и </w:t>
      </w:r>
      <w:r>
        <w:rPr>
          <w:rStyle w:val="afd"/>
          <w:rFonts w:ascii="Times New Roman" w:hAnsi="Times New Roman"/>
          <w:color w:val="000000"/>
        </w:rPr>
        <w:t>18</w:t>
      </w:r>
      <w:r>
        <w:rPr>
          <w:rFonts w:ascii="Times New Roman" w:hAnsi="Times New Roman"/>
        </w:rPr>
        <w:t xml:space="preserve"> ведется: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в разрезе кодов (составных частей кодов) классификации доходов, расходов и</w:t>
      </w:r>
      <w:r>
        <w:rPr>
          <w:rFonts w:ascii="Times New Roman" w:hAnsi="Times New Roman"/>
        </w:rPr>
        <w:t xml:space="preserve"> источников финансирования дефицита бюджетов, кодов КОСГУ (в части забалансовых счетов, открытых к счетам </w:t>
      </w:r>
      <w:r>
        <w:rPr>
          <w:rStyle w:val="afe"/>
          <w:rFonts w:ascii="Times New Roman" w:hAnsi="Times New Roman"/>
          <w:b w:val="0"/>
          <w:bCs w:val="0"/>
          <w:color w:val="000000"/>
        </w:rPr>
        <w:t>1 201 21 000, 1 201 23 000, 1 201 26 000, 1 201 27 000, 1 201 34 000, 1 210 03 000</w:t>
      </w:r>
      <w:r>
        <w:rPr>
          <w:rFonts w:ascii="Times New Roman" w:hAnsi="Times New Roman"/>
          <w:b/>
          <w:bCs/>
        </w:rPr>
        <w:t>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15.4. Учет полученного (приобретенного) недвижимого имущества, в </w:t>
      </w:r>
      <w:r>
        <w:rPr>
          <w:rFonts w:ascii="Times New Roman" w:hAnsi="Times New Roman"/>
        </w:rPr>
        <w:t xml:space="preserve">т.ч. земельных участков, в течение времени оформления государственной регистрации прав на него осуществляется на забалансовом счете </w:t>
      </w:r>
      <w:r>
        <w:rPr>
          <w:rStyle w:val="afd"/>
          <w:rFonts w:ascii="Times New Roman" w:hAnsi="Times New Roman"/>
          <w:color w:val="000000"/>
        </w:rPr>
        <w:t>01</w:t>
      </w:r>
      <w:r>
        <w:rPr>
          <w:rFonts w:ascii="Times New Roman" w:hAnsi="Times New Roman"/>
        </w:rPr>
        <w:t xml:space="preserve"> "Имущество, полученное в пользование".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pStyle w:val="af5"/>
        <w:rPr>
          <w:sz w:val="24"/>
        </w:rPr>
      </w:pPr>
      <w:r>
        <w:rPr>
          <w:sz w:val="24"/>
        </w:rPr>
        <w:t xml:space="preserve">15.5. </w:t>
      </w:r>
      <w:bookmarkStart w:id="47" w:name="sub_588675214"/>
      <w:r>
        <w:rPr>
          <w:sz w:val="24"/>
        </w:rPr>
        <w:t>При сдаче в аренду или передаче в безвозмездное пользование части объекта н</w:t>
      </w:r>
      <w:r>
        <w:rPr>
          <w:sz w:val="24"/>
        </w:rPr>
        <w:t xml:space="preserve">едвижимости стоимость этой части отражается на забалансовых счетах 25 "Имущество, переданное в возмездное пользование (аренду)" или 26 "Имущество, переданное в безвозмездное пользование" соответственно и определяется исходя из стоимости всего объекта, его </w:t>
      </w:r>
      <w:r>
        <w:rPr>
          <w:sz w:val="24"/>
        </w:rPr>
        <w:t>общей площади и площади переданной части.</w:t>
      </w:r>
    </w:p>
    <w:p w:rsidR="00E244F7" w:rsidRDefault="00E244F7">
      <w:pPr>
        <w:pStyle w:val="af5"/>
        <w:rPr>
          <w:sz w:val="24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15.6. Порядок списания невостребованной кредиторской задолженности с забалансового счета 20.</w:t>
      </w:r>
    </w:p>
    <w:bookmarkEnd w:id="47"/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15.6.1. Ответственной за принятие решений о списании невостребованной кредиторской задолженности назначается:</w:t>
      </w:r>
    </w:p>
    <w:p w:rsidR="00E244F7" w:rsidRDefault="001E26CD">
      <w:pPr>
        <w:ind w:firstLine="0"/>
        <w:rPr>
          <w:rStyle w:val="afe"/>
          <w:rFonts w:ascii="Times New Roman" w:hAnsi="Times New Roman"/>
          <w:b w:val="0"/>
        </w:rPr>
      </w:pPr>
      <w:r>
        <w:rPr>
          <w:rStyle w:val="afe"/>
          <w:rFonts w:ascii="Times New Roman" w:hAnsi="Times New Roman"/>
          <w:b w:val="0"/>
          <w:bCs w:val="0"/>
        </w:rPr>
        <w:t>- комисси</w:t>
      </w:r>
      <w:r>
        <w:rPr>
          <w:rStyle w:val="afe"/>
          <w:rFonts w:ascii="Times New Roman" w:hAnsi="Times New Roman"/>
          <w:b w:val="0"/>
          <w:bCs w:val="0"/>
        </w:rPr>
        <w:t>я по поступлению и выбытию активов;</w:t>
      </w:r>
    </w:p>
    <w:p w:rsidR="00E244F7" w:rsidRDefault="00E244F7">
      <w:pPr>
        <w:ind w:firstLine="0"/>
        <w:rPr>
          <w:rFonts w:ascii="Times New Roman" w:hAnsi="Times New Roman"/>
          <w:b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15.6.2. Периодичность проверки задолженности, учтенной на счете 20, в целях принятия решений о ее списании: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Style w:val="afe"/>
          <w:rFonts w:ascii="Times New Roman" w:hAnsi="Times New Roman"/>
          <w:b w:val="0"/>
          <w:bCs w:val="0"/>
        </w:rPr>
        <w:t>- ежегодно в рамках проведения годовой инвентаризации;</w:t>
      </w:r>
    </w:p>
    <w:p w:rsidR="00E244F7" w:rsidRDefault="00E244F7">
      <w:pPr>
        <w:ind w:firstLine="0"/>
        <w:rPr>
          <w:rFonts w:ascii="Times New Roman" w:hAnsi="Times New Roman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15.6.3. В установленные сроки руководителем издается пр</w:t>
      </w:r>
      <w:r>
        <w:rPr>
          <w:rFonts w:ascii="Times New Roman" w:hAnsi="Times New Roman"/>
        </w:rPr>
        <w:t>иказ о проведении инвентаризации на счете 20. Бухгалтерская служба готовит информацию о задолженности, учтенной на счете 20, и передает ее комиссии. Затем комиссия проводит проверку сумм, учтенных на счете 20: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 определение сроков исковой давности;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 выявление сумм задолженности, по которым предъявлены требования кредиторов.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По итогам проведенной работы комиссия оформляет решение о списании кредиторской задолженности, невостребованной кредиторами, с забалансового учета. Решение подписывается Главой п</w:t>
      </w:r>
      <w:r>
        <w:rPr>
          <w:rFonts w:ascii="Times New Roman" w:hAnsi="Times New Roman"/>
        </w:rPr>
        <w:t>оселения и передается в бухгалтерию для оформления бухгалтерских записей.</w:t>
      </w:r>
    </w:p>
    <w:p w:rsidR="00E244F7" w:rsidRDefault="001E26CD">
      <w:pPr>
        <w:pStyle w:val="aff"/>
        <w:ind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 xml:space="preserve">(Основание: </w:t>
      </w:r>
      <w:r>
        <w:rPr>
          <w:rFonts w:ascii="Times New Roman" w:hAnsi="Times New Roman"/>
          <w:bCs/>
          <w:sz w:val="24"/>
          <w:szCs w:val="24"/>
        </w:rPr>
        <w:t>п. 371</w:t>
      </w:r>
      <w:r>
        <w:rPr>
          <w:rFonts w:ascii="Times New Roman" w:hAnsi="Times New Roman"/>
          <w:sz w:val="24"/>
          <w:szCs w:val="24"/>
        </w:rPr>
        <w:t xml:space="preserve"> Инструкции N 157н).</w:t>
      </w:r>
    </w:p>
    <w:p w:rsidR="00E244F7" w:rsidRDefault="001E26CD">
      <w:pPr>
        <w:ind w:firstLine="0"/>
        <w:rPr>
          <w:rFonts w:ascii="Times New Roman" w:hAnsi="Times New Roman"/>
        </w:rPr>
      </w:pPr>
      <w:bookmarkStart w:id="48" w:name="sub_588675270"/>
      <w:r>
        <w:rPr>
          <w:rFonts w:ascii="Times New Roman" w:hAnsi="Times New Roman"/>
        </w:rPr>
        <w:t xml:space="preserve">15.7. Исправление ошибок прошлых лет на забалансовых счетах отражается следующим образом: </w:t>
      </w:r>
      <w:bookmarkEnd w:id="48"/>
    </w:p>
    <w:p w:rsidR="00E244F7" w:rsidRDefault="001E26CD">
      <w:pPr>
        <w:ind w:firstLine="0"/>
        <w:rPr>
          <w:rFonts w:ascii="Times New Roman" w:hAnsi="Times New Roman"/>
        </w:rPr>
      </w:pPr>
      <w:r>
        <w:rPr>
          <w:rStyle w:val="afe"/>
          <w:rFonts w:ascii="Times New Roman" w:hAnsi="Times New Roman"/>
          <w:b w:val="0"/>
          <w:bCs w:val="0"/>
        </w:rPr>
        <w:t>- бухгалтерская справка (ф. 0504833) по исправлению ошибки формируется датой обнаружения ошибки (текущей датой), а проводка по исправлению ошибки вносится межотчетным периодом.</w:t>
      </w:r>
    </w:p>
    <w:p w:rsidR="00E244F7" w:rsidRDefault="001E26CD">
      <w:pPr>
        <w:contextualSpacing/>
        <w:rPr>
          <w:rFonts w:ascii="Times New Roman" w:hAnsi="Times New Roman"/>
          <w:b/>
          <w:lang w:eastAsia="en-US"/>
        </w:rPr>
      </w:pPr>
      <w:r>
        <w:rPr>
          <w:rFonts w:ascii="Times New Roman" w:hAnsi="Times New Roman"/>
          <w:b/>
          <w:lang w:eastAsia="en-US"/>
        </w:rPr>
        <w:t xml:space="preserve">  </w:t>
      </w:r>
    </w:p>
    <w:p w:rsidR="00E244F7" w:rsidRDefault="001E26CD">
      <w:pPr>
        <w:contextualSpacing/>
        <w:rPr>
          <w:rFonts w:ascii="Times New Roman" w:hAnsi="Times New Roman"/>
          <w:b/>
          <w:lang w:eastAsia="en-US"/>
        </w:rPr>
      </w:pPr>
      <w:r>
        <w:rPr>
          <w:rFonts w:ascii="Times New Roman" w:hAnsi="Times New Roman"/>
          <w:b/>
          <w:lang w:eastAsia="en-US"/>
        </w:rPr>
        <w:t>11. Имущество казны</w:t>
      </w:r>
    </w:p>
    <w:p w:rsidR="00E244F7" w:rsidRDefault="00E244F7">
      <w:pPr>
        <w:contextualSpacing/>
        <w:rPr>
          <w:rFonts w:ascii="Times New Roman" w:hAnsi="Times New Roman"/>
          <w:lang w:eastAsia="en-US"/>
        </w:rPr>
      </w:pP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</w:rPr>
        <w:t>С момента включения имущества в состав казны амортизаци</w:t>
      </w:r>
      <w:r>
        <w:rPr>
          <w:rFonts w:ascii="Times New Roman" w:hAnsi="Times New Roman"/>
        </w:rPr>
        <w:t>я не начисляется.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 </w:t>
      </w:r>
    </w:p>
    <w:p w:rsidR="00E244F7" w:rsidRDefault="001E26CD">
      <w:pPr>
        <w:contextualSpacing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>VI. Инвентаризация имущества и обязательств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 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1. Инвентаризацию имущества и обязательств (в т. ч. числящихся на забалансовых счетах), а также финансовых результатов (в т. ч. расходов будущих периодов и резервов) проводит постоянно дейст</w:t>
      </w:r>
      <w:r>
        <w:rPr>
          <w:rFonts w:ascii="Times New Roman" w:hAnsi="Times New Roman"/>
          <w:lang w:eastAsia="en-US"/>
        </w:rPr>
        <w:t>вующая инвентаризационная комиссия. Порядок и график проведения инвентаризации приведены в (Приложении № 8).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В отдельных случаях (при смене материально ответственных лиц, выявлении фактов хищения, стихийных бедствиях и т. д.) инвентаризацию может проводить</w:t>
      </w:r>
      <w:r>
        <w:rPr>
          <w:rFonts w:ascii="Times New Roman" w:hAnsi="Times New Roman"/>
          <w:lang w:eastAsia="en-US"/>
        </w:rPr>
        <w:t xml:space="preserve"> специально созданная рабочая комиссия, состав которой утверждается отельным постановлением руководителя.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(Основание: статья 11 Закона от 06.12.2011 № 402-ФЗ, раздел VIII СГС</w:t>
      </w:r>
      <w:r>
        <w:rPr>
          <w:rFonts w:ascii="Times New Roman" w:hAnsi="Times New Roman"/>
          <w:b/>
          <w:lang w:eastAsia="en-US"/>
        </w:rPr>
        <w:t xml:space="preserve"> </w:t>
      </w:r>
      <w:r>
        <w:rPr>
          <w:rFonts w:ascii="Times New Roman" w:hAnsi="Times New Roman"/>
          <w:lang w:eastAsia="en-US"/>
        </w:rPr>
        <w:t>«Концептуальные основы бухучета и отчетности»).</w:t>
      </w:r>
    </w:p>
    <w:p w:rsidR="00E244F7" w:rsidRDefault="001E26CD">
      <w:pPr>
        <w:contextualSpacing/>
        <w:rPr>
          <w:rFonts w:ascii="Times New Roman" w:hAnsi="Times New Roman"/>
          <w:b/>
          <w:lang w:eastAsia="en-US"/>
        </w:rPr>
      </w:pPr>
      <w:r>
        <w:rPr>
          <w:rFonts w:ascii="Times New Roman" w:hAnsi="Times New Roman"/>
          <w:b/>
          <w:lang w:eastAsia="en-US"/>
        </w:rPr>
        <w:t xml:space="preserve"> </w:t>
      </w:r>
    </w:p>
    <w:p w:rsidR="00E244F7" w:rsidRDefault="001E26CD">
      <w:pPr>
        <w:contextualSpacing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>VII. Порядок организации и обес</w:t>
      </w:r>
      <w:r>
        <w:rPr>
          <w:rFonts w:ascii="Times New Roman" w:hAnsi="Times New Roman"/>
          <w:b/>
          <w:sz w:val="28"/>
          <w:szCs w:val="28"/>
          <w:lang w:eastAsia="en-US"/>
        </w:rPr>
        <w:t xml:space="preserve">печения внутреннего финансового </w:t>
      </w:r>
      <w:r>
        <w:rPr>
          <w:rFonts w:ascii="Times New Roman" w:hAnsi="Times New Roman"/>
          <w:b/>
          <w:sz w:val="28"/>
          <w:szCs w:val="28"/>
          <w:lang w:eastAsia="en-US"/>
        </w:rPr>
        <w:lastRenderedPageBreak/>
        <w:t>контроля</w:t>
      </w:r>
    </w:p>
    <w:p w:rsidR="00E244F7" w:rsidRDefault="001E26CD">
      <w:pPr>
        <w:contextualSpacing/>
        <w:rPr>
          <w:rFonts w:ascii="Times New Roman" w:hAnsi="Times New Roman"/>
          <w:b/>
          <w:lang w:eastAsia="en-US"/>
        </w:rPr>
      </w:pPr>
      <w:r>
        <w:rPr>
          <w:rFonts w:ascii="Times New Roman" w:hAnsi="Times New Roman"/>
          <w:b/>
          <w:lang w:eastAsia="en-US"/>
        </w:rPr>
        <w:t xml:space="preserve"> 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1. Внутренний финансовый контроль в учреждении осуществляет комиссия. Помимо комиссии постоянный текущий контроль в ходе своей деятельности осуществляют в рамках своих полномочий: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• руководитель учреждения;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• глав</w:t>
      </w:r>
      <w:r>
        <w:rPr>
          <w:rFonts w:ascii="Times New Roman" w:hAnsi="Times New Roman"/>
          <w:lang w:eastAsia="en-US"/>
        </w:rPr>
        <w:t>ный бухгалтер, сотрудники бухгалтерии;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• иные должностные лица учреждения в соответствии со своими обязанностями.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 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2. Положение о внутреннем финансовом контроле и график проведения внутренних проверок финансово-хозяйственной деятельности приведен в (Прило</w:t>
      </w:r>
      <w:r>
        <w:rPr>
          <w:rFonts w:ascii="Times New Roman" w:hAnsi="Times New Roman"/>
          <w:lang w:eastAsia="en-US"/>
        </w:rPr>
        <w:t>жении № 9).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(Основание: пункт 6 Инструкции к Единому плану счетов № 157н).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 </w:t>
      </w:r>
    </w:p>
    <w:p w:rsidR="00E244F7" w:rsidRDefault="001E26CD">
      <w:pPr>
        <w:contextualSpacing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>VIII. Бухгалтерская (финансовая) отчетность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 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1. Бухгалтерская (финансовая)</w:t>
      </w:r>
      <w:r>
        <w:rPr>
          <w:rFonts w:ascii="Times New Roman" w:hAnsi="Times New Roman"/>
          <w:lang w:eastAsia="en-US"/>
        </w:rPr>
        <w:t xml:space="preserve"> отчетность составляется на основании аналитического и синтетического учета по формам, в объеме и в сроки, установленные вышестоящей организацией и бюджетным законодательством (приказ Минфина от 28.12.2010 № 191н):</w:t>
      </w:r>
    </w:p>
    <w:p w:rsidR="00E244F7" w:rsidRDefault="00E244F7">
      <w:pPr>
        <w:contextualSpacing/>
        <w:rPr>
          <w:rFonts w:ascii="Times New Roman" w:hAnsi="Times New Roman"/>
          <w:lang w:eastAsia="en-US"/>
        </w:rPr>
      </w:pP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– квартальные – до 15-го числа месяца, с</w:t>
      </w:r>
      <w:r>
        <w:rPr>
          <w:rFonts w:ascii="Times New Roman" w:hAnsi="Times New Roman"/>
          <w:lang w:eastAsia="en-US"/>
        </w:rPr>
        <w:t>ледующего за отчетным периодом;</w:t>
      </w:r>
    </w:p>
    <w:p w:rsidR="00E244F7" w:rsidRDefault="001E26CD">
      <w:pPr>
        <w:contextualSpacing/>
        <w:rPr>
          <w:rFonts w:ascii="Times New Roman" w:hAnsi="Times New Roman"/>
          <w:b/>
          <w:lang w:eastAsia="en-US"/>
        </w:rPr>
      </w:pPr>
      <w:r>
        <w:rPr>
          <w:rFonts w:ascii="Times New Roman" w:hAnsi="Times New Roman"/>
          <w:lang w:eastAsia="en-US"/>
        </w:rPr>
        <w:t>– месячная – до 5-го числа месяца, следующего за отчетным периодом.</w:t>
      </w:r>
      <w:r>
        <w:rPr>
          <w:rFonts w:ascii="Times New Roman" w:hAnsi="Times New Roman"/>
          <w:b/>
          <w:lang w:eastAsia="en-US"/>
        </w:rPr>
        <w:t xml:space="preserve"> </w:t>
      </w:r>
    </w:p>
    <w:p w:rsidR="00E244F7" w:rsidRDefault="00E244F7">
      <w:pPr>
        <w:contextualSpacing/>
        <w:rPr>
          <w:rFonts w:ascii="Times New Roman" w:hAnsi="Times New Roman"/>
          <w:b/>
          <w:lang w:eastAsia="en-US"/>
        </w:rPr>
      </w:pP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2. В целях составления отчета о движении денежных средств величина денежных средств определяется прямым методом и рассчитывается как разница между всеми денежными притоками учреждения от всех видов деятельности и их оттоками.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(Основание: пункт 19 СГС «Отче</w:t>
      </w:r>
      <w:r>
        <w:rPr>
          <w:rFonts w:ascii="Times New Roman" w:hAnsi="Times New Roman"/>
          <w:lang w:eastAsia="en-US"/>
        </w:rPr>
        <w:t>т о движении денежных средств»).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 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3. Бухгалтерская отчетность формируется и хранится в виде электронного документа в информационной системе «</w:t>
      </w:r>
      <w:r>
        <w:rPr>
          <w:rFonts w:ascii="Times New Roman" w:hAnsi="Times New Roman"/>
          <w:lang w:val="en-US" w:eastAsia="en-US"/>
        </w:rPr>
        <w:t>Web</w:t>
      </w:r>
      <w:r>
        <w:rPr>
          <w:rFonts w:ascii="Times New Roman" w:hAnsi="Times New Roman"/>
          <w:lang w:eastAsia="en-US"/>
        </w:rPr>
        <w:t>-Консолидация». Бумажная копия комплекта отчетности хранится у главного бухгалтера.</w:t>
      </w: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(Основание: часть 7.1 стать</w:t>
      </w:r>
      <w:r>
        <w:rPr>
          <w:rFonts w:ascii="Times New Roman" w:hAnsi="Times New Roman"/>
          <w:lang w:eastAsia="en-US"/>
        </w:rPr>
        <w:t>и 13 Закона от 06.12.2011 № 402-ФЗ).</w:t>
      </w:r>
    </w:p>
    <w:p w:rsidR="00E244F7" w:rsidRDefault="00E244F7">
      <w:pPr>
        <w:contextualSpacing/>
        <w:rPr>
          <w:rFonts w:ascii="Times New Roman" w:hAnsi="Times New Roman"/>
          <w:b/>
          <w:lang w:eastAsia="en-US"/>
        </w:rPr>
      </w:pPr>
    </w:p>
    <w:p w:rsidR="00E244F7" w:rsidRDefault="001E26CD">
      <w:pPr>
        <w:contextualSpacing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>IX. Порядок передачи документов бухгалтерского учета</w:t>
      </w:r>
    </w:p>
    <w:p w:rsidR="00E244F7" w:rsidRDefault="001E26CD">
      <w:pPr>
        <w:contextualSpacing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>при смене руководителя и главного бухгалтера</w:t>
      </w:r>
    </w:p>
    <w:p w:rsidR="00E244F7" w:rsidRDefault="00E244F7">
      <w:pPr>
        <w:contextualSpacing/>
        <w:rPr>
          <w:rFonts w:ascii="Times New Roman" w:hAnsi="Times New Roman"/>
          <w:b/>
          <w:lang w:eastAsia="en-US"/>
        </w:rPr>
      </w:pP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При смене руководителя или главного бухгалтера передача дел производится на основании приказа (распоряжения) руководите</w:t>
      </w:r>
      <w:r>
        <w:rPr>
          <w:rFonts w:ascii="Times New Roman" w:hAnsi="Times New Roman"/>
        </w:rPr>
        <w:t>ля учреждения или иного уполномоченного лица, которым устанавливаются: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сроки передачи дел,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лицо, ответственное за сдачу дел,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лицо, ответственное за прием дел,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другие лица, участвующие в процессе приема-передачи дел (члены специальной комиссии, пред</w:t>
      </w:r>
      <w:r>
        <w:rPr>
          <w:rFonts w:ascii="Times New Roman" w:hAnsi="Times New Roman"/>
        </w:rPr>
        <w:t>ставитель вышестоящего органа, аудитор),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необходимость проведения инвентаризации финансовых активов,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дата, на которую должны быть завершены учетные процессы.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Передача дел оформляется Актом. В Акте в том числе указываются: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опись переданных документов,</w:t>
      </w:r>
      <w:r>
        <w:rPr>
          <w:rFonts w:ascii="Times New Roman" w:hAnsi="Times New Roman"/>
        </w:rPr>
        <w:t xml:space="preserve"> их количество и места хранения;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выявленные в ходе передачи дел основные нарушения и неточности в оформлении первичных учетных документов и регистров учета;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соответствие документов данным бюджетной и налоговой отчетности;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список отсутствующих докумен</w:t>
      </w:r>
      <w:r>
        <w:rPr>
          <w:rFonts w:ascii="Times New Roman" w:hAnsi="Times New Roman"/>
        </w:rPr>
        <w:t>тов;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- общая характеристика бюджетного учета и организации внутреннего контроля;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факт передачи печати, штампов, ключей от сейфа и бухгалтерии, ключей от системы "Клиент-Банк", сертификатов и т.п.;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 дата, на которую осуществлена приемка-передача дел.</w:t>
      </w:r>
    </w:p>
    <w:p w:rsidR="00E244F7" w:rsidRDefault="001E26C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Акт заверяется подписями лиц, ответственных за сдачу и прием дел, а также другими лицами, участвующими в процессе приема-передачи дел.</w:t>
      </w:r>
    </w:p>
    <w:p w:rsidR="00E244F7" w:rsidRDefault="001E26CD">
      <w:pPr>
        <w:pStyle w:val="aff"/>
        <w:ind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(Основание: </w:t>
      </w:r>
      <w:r>
        <w:rPr>
          <w:rStyle w:val="afd"/>
          <w:rFonts w:ascii="Times New Roman" w:hAnsi="Times New Roman"/>
          <w:color w:val="000000"/>
          <w:sz w:val="24"/>
        </w:rPr>
        <w:t>п. 14</w:t>
      </w:r>
      <w:r>
        <w:rPr>
          <w:rFonts w:ascii="Times New Roman" w:hAnsi="Times New Roman"/>
          <w:sz w:val="24"/>
        </w:rPr>
        <w:t xml:space="preserve"> Инструкции N 157).</w:t>
      </w:r>
    </w:p>
    <w:p w:rsidR="00E244F7" w:rsidRDefault="00E244F7">
      <w:pPr>
        <w:contextualSpacing/>
        <w:rPr>
          <w:rFonts w:ascii="Times New Roman" w:hAnsi="Times New Roman"/>
          <w:lang w:eastAsia="en-US"/>
        </w:rPr>
      </w:pPr>
    </w:p>
    <w:p w:rsidR="00E244F7" w:rsidRDefault="001E26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X</w:t>
      </w:r>
      <w:r>
        <w:rPr>
          <w:rFonts w:ascii="Times New Roman" w:hAnsi="Times New Roman"/>
          <w:b/>
          <w:sz w:val="28"/>
          <w:szCs w:val="28"/>
        </w:rPr>
        <w:t>. Порядок закупок товаров, работ, услуг</w:t>
      </w:r>
    </w:p>
    <w:p w:rsidR="00E244F7" w:rsidRDefault="001E26CD">
      <w:pPr>
        <w:pStyle w:val="af3"/>
        <w:numPr>
          <w:ilvl w:val="0"/>
          <w:numId w:val="43"/>
        </w:numPr>
        <w:tabs>
          <w:tab w:val="left" w:pos="28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Порядок закупок товаров работ услуг для нужд учреждения определяется в соответствии с Федеральным законом № 44 ФЗ</w:t>
      </w:r>
    </w:p>
    <w:p w:rsidR="00E244F7" w:rsidRDefault="00E244F7">
      <w:pPr>
        <w:tabs>
          <w:tab w:val="left" w:pos="28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</w:p>
    <w:p w:rsidR="00E244F7" w:rsidRDefault="00E244F7">
      <w:pPr>
        <w:contextualSpacing/>
        <w:rPr>
          <w:rFonts w:ascii="Times New Roman" w:hAnsi="Times New Roman"/>
          <w:lang w:eastAsia="en-US"/>
        </w:rPr>
      </w:pPr>
    </w:p>
    <w:p w:rsidR="00E244F7" w:rsidRDefault="001E26CD">
      <w:pPr>
        <w:contextualSpacing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Главный специалист</w:t>
      </w:r>
      <w:r>
        <w:rPr>
          <w:rFonts w:ascii="Times New Roman" w:hAnsi="Times New Roman"/>
          <w:lang w:eastAsia="en-US"/>
        </w:rPr>
        <w:tab/>
        <w:t xml:space="preserve"> </w:t>
      </w:r>
      <w:r>
        <w:rPr>
          <w:rFonts w:ascii="Times New Roman" w:hAnsi="Times New Roman"/>
          <w:lang w:eastAsia="en-US"/>
        </w:rPr>
        <w:tab/>
        <w:t xml:space="preserve">                                                                              В.О. Овчаров</w:t>
      </w:r>
    </w:p>
    <w:sectPr w:rsidR="00E244F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6CD" w:rsidRDefault="001E26CD">
      <w:r>
        <w:separator/>
      </w:r>
    </w:p>
  </w:endnote>
  <w:endnote w:type="continuationSeparator" w:id="0">
    <w:p w:rsidR="001E26CD" w:rsidRDefault="001E2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yandex-sans">
    <w:altName w:val="Arial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6CD" w:rsidRDefault="001E26CD">
      <w:r>
        <w:separator/>
      </w:r>
    </w:p>
  </w:footnote>
  <w:footnote w:type="continuationSeparator" w:id="0">
    <w:p w:rsidR="001E26CD" w:rsidRDefault="001E26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A6479"/>
    <w:multiLevelType w:val="hybridMultilevel"/>
    <w:tmpl w:val="7A0CB4BA"/>
    <w:lvl w:ilvl="0" w:tplc="BB042290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 w:tplc="2F06582E">
      <w:start w:val="1"/>
      <w:numFmt w:val="bullet"/>
      <w:lvlText w:val="o"/>
      <w:lvlJc w:val="left"/>
      <w:pPr>
        <w:ind w:left="1980" w:hanging="360"/>
      </w:pPr>
      <w:rPr>
        <w:rFonts w:ascii="Courier New" w:hAnsi="Courier New"/>
      </w:rPr>
    </w:lvl>
    <w:lvl w:ilvl="2" w:tplc="3C54BC8C">
      <w:start w:val="1"/>
      <w:numFmt w:val="bullet"/>
      <w:lvlText w:val=""/>
      <w:lvlJc w:val="left"/>
      <w:pPr>
        <w:ind w:left="2700" w:hanging="360"/>
      </w:pPr>
      <w:rPr>
        <w:rFonts w:ascii="Wingdings" w:hAnsi="Wingdings"/>
      </w:rPr>
    </w:lvl>
    <w:lvl w:ilvl="3" w:tplc="E5B4D5CA">
      <w:start w:val="1"/>
      <w:numFmt w:val="bullet"/>
      <w:lvlText w:val=""/>
      <w:lvlJc w:val="left"/>
      <w:pPr>
        <w:ind w:left="3420" w:hanging="360"/>
      </w:pPr>
      <w:rPr>
        <w:rFonts w:ascii="Symbol" w:hAnsi="Symbol"/>
      </w:rPr>
    </w:lvl>
    <w:lvl w:ilvl="4" w:tplc="66F2EA28">
      <w:start w:val="1"/>
      <w:numFmt w:val="bullet"/>
      <w:lvlText w:val="o"/>
      <w:lvlJc w:val="left"/>
      <w:pPr>
        <w:ind w:left="4140" w:hanging="360"/>
      </w:pPr>
      <w:rPr>
        <w:rFonts w:ascii="Courier New" w:hAnsi="Courier New"/>
      </w:rPr>
    </w:lvl>
    <w:lvl w:ilvl="5" w:tplc="B0A2D984">
      <w:start w:val="1"/>
      <w:numFmt w:val="bullet"/>
      <w:lvlText w:val=""/>
      <w:lvlJc w:val="left"/>
      <w:pPr>
        <w:ind w:left="4860" w:hanging="360"/>
      </w:pPr>
      <w:rPr>
        <w:rFonts w:ascii="Wingdings" w:hAnsi="Wingdings"/>
      </w:rPr>
    </w:lvl>
    <w:lvl w:ilvl="6" w:tplc="2B8A91EA">
      <w:start w:val="1"/>
      <w:numFmt w:val="bullet"/>
      <w:lvlText w:val=""/>
      <w:lvlJc w:val="left"/>
      <w:pPr>
        <w:ind w:left="5580" w:hanging="360"/>
      </w:pPr>
      <w:rPr>
        <w:rFonts w:ascii="Symbol" w:hAnsi="Symbol"/>
      </w:rPr>
    </w:lvl>
    <w:lvl w:ilvl="7" w:tplc="56B4A700">
      <w:start w:val="1"/>
      <w:numFmt w:val="bullet"/>
      <w:lvlText w:val="o"/>
      <w:lvlJc w:val="left"/>
      <w:pPr>
        <w:ind w:left="6300" w:hanging="360"/>
      </w:pPr>
      <w:rPr>
        <w:rFonts w:ascii="Courier New" w:hAnsi="Courier New"/>
      </w:rPr>
    </w:lvl>
    <w:lvl w:ilvl="8" w:tplc="4B38F9FA">
      <w:start w:val="1"/>
      <w:numFmt w:val="bullet"/>
      <w:lvlText w:val=""/>
      <w:lvlJc w:val="left"/>
      <w:pPr>
        <w:ind w:left="7020" w:hanging="360"/>
      </w:pPr>
      <w:rPr>
        <w:rFonts w:ascii="Wingdings" w:hAnsi="Wingdings"/>
      </w:rPr>
    </w:lvl>
  </w:abstractNum>
  <w:abstractNum w:abstractNumId="1">
    <w:nsid w:val="017469B4"/>
    <w:multiLevelType w:val="hybridMultilevel"/>
    <w:tmpl w:val="DB2820D2"/>
    <w:lvl w:ilvl="0" w:tplc="843A3986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 w:tplc="32287284">
      <w:start w:val="1"/>
      <w:numFmt w:val="bullet"/>
      <w:lvlText w:val="o"/>
      <w:lvlJc w:val="left"/>
      <w:pPr>
        <w:ind w:left="1980" w:hanging="360"/>
      </w:pPr>
      <w:rPr>
        <w:rFonts w:ascii="Courier New" w:hAnsi="Courier New"/>
      </w:rPr>
    </w:lvl>
    <w:lvl w:ilvl="2" w:tplc="9D94C338">
      <w:start w:val="1"/>
      <w:numFmt w:val="bullet"/>
      <w:lvlText w:val=""/>
      <w:lvlJc w:val="left"/>
      <w:pPr>
        <w:ind w:left="2700" w:hanging="360"/>
      </w:pPr>
      <w:rPr>
        <w:rFonts w:ascii="Wingdings" w:hAnsi="Wingdings"/>
      </w:rPr>
    </w:lvl>
    <w:lvl w:ilvl="3" w:tplc="DB083FD8">
      <w:start w:val="1"/>
      <w:numFmt w:val="bullet"/>
      <w:lvlText w:val=""/>
      <w:lvlJc w:val="left"/>
      <w:pPr>
        <w:ind w:left="3420" w:hanging="360"/>
      </w:pPr>
      <w:rPr>
        <w:rFonts w:ascii="Symbol" w:hAnsi="Symbol"/>
      </w:rPr>
    </w:lvl>
    <w:lvl w:ilvl="4" w:tplc="97CC0206">
      <w:start w:val="1"/>
      <w:numFmt w:val="bullet"/>
      <w:lvlText w:val="o"/>
      <w:lvlJc w:val="left"/>
      <w:pPr>
        <w:ind w:left="4140" w:hanging="360"/>
      </w:pPr>
      <w:rPr>
        <w:rFonts w:ascii="Courier New" w:hAnsi="Courier New"/>
      </w:rPr>
    </w:lvl>
    <w:lvl w:ilvl="5" w:tplc="0FC41CAC">
      <w:start w:val="1"/>
      <w:numFmt w:val="bullet"/>
      <w:lvlText w:val=""/>
      <w:lvlJc w:val="left"/>
      <w:pPr>
        <w:ind w:left="4860" w:hanging="360"/>
      </w:pPr>
      <w:rPr>
        <w:rFonts w:ascii="Wingdings" w:hAnsi="Wingdings"/>
      </w:rPr>
    </w:lvl>
    <w:lvl w:ilvl="6" w:tplc="77B0FDCC">
      <w:start w:val="1"/>
      <w:numFmt w:val="bullet"/>
      <w:lvlText w:val=""/>
      <w:lvlJc w:val="left"/>
      <w:pPr>
        <w:ind w:left="5580" w:hanging="360"/>
      </w:pPr>
      <w:rPr>
        <w:rFonts w:ascii="Symbol" w:hAnsi="Symbol"/>
      </w:rPr>
    </w:lvl>
    <w:lvl w:ilvl="7" w:tplc="34D8A782">
      <w:start w:val="1"/>
      <w:numFmt w:val="bullet"/>
      <w:lvlText w:val="o"/>
      <w:lvlJc w:val="left"/>
      <w:pPr>
        <w:ind w:left="6300" w:hanging="360"/>
      </w:pPr>
      <w:rPr>
        <w:rFonts w:ascii="Courier New" w:hAnsi="Courier New"/>
      </w:rPr>
    </w:lvl>
    <w:lvl w:ilvl="8" w:tplc="A068295E">
      <w:start w:val="1"/>
      <w:numFmt w:val="bullet"/>
      <w:lvlText w:val=""/>
      <w:lvlJc w:val="left"/>
      <w:pPr>
        <w:ind w:left="7020" w:hanging="360"/>
      </w:pPr>
      <w:rPr>
        <w:rFonts w:ascii="Wingdings" w:hAnsi="Wingdings"/>
      </w:rPr>
    </w:lvl>
  </w:abstractNum>
  <w:abstractNum w:abstractNumId="2">
    <w:nsid w:val="02BC1B08"/>
    <w:multiLevelType w:val="hybridMultilevel"/>
    <w:tmpl w:val="5700FA78"/>
    <w:lvl w:ilvl="0" w:tplc="78085F06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plc="FB7A400A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plc="19B481DA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plc="0B040B86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plc="93FCA5C6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plc="3716D3D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plc="6F767B4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plc="986A8FFA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plc="EC749E84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DC7DE7"/>
    <w:multiLevelType w:val="hybridMultilevel"/>
    <w:tmpl w:val="BFF80C2A"/>
    <w:lvl w:ilvl="0" w:tplc="1C44C4C6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 w:tplc="9490F22A">
      <w:start w:val="1"/>
      <w:numFmt w:val="bullet"/>
      <w:lvlText w:val="o"/>
      <w:lvlJc w:val="left"/>
      <w:pPr>
        <w:ind w:left="1980" w:hanging="360"/>
      </w:pPr>
      <w:rPr>
        <w:rFonts w:ascii="Courier New" w:hAnsi="Courier New"/>
      </w:rPr>
    </w:lvl>
    <w:lvl w:ilvl="2" w:tplc="F36C35F2">
      <w:start w:val="1"/>
      <w:numFmt w:val="bullet"/>
      <w:lvlText w:val=""/>
      <w:lvlJc w:val="left"/>
      <w:pPr>
        <w:ind w:left="2700" w:hanging="360"/>
      </w:pPr>
      <w:rPr>
        <w:rFonts w:ascii="Wingdings" w:hAnsi="Wingdings"/>
      </w:rPr>
    </w:lvl>
    <w:lvl w:ilvl="3" w:tplc="047EC79C">
      <w:start w:val="1"/>
      <w:numFmt w:val="bullet"/>
      <w:lvlText w:val=""/>
      <w:lvlJc w:val="left"/>
      <w:pPr>
        <w:ind w:left="3420" w:hanging="360"/>
      </w:pPr>
      <w:rPr>
        <w:rFonts w:ascii="Symbol" w:hAnsi="Symbol"/>
      </w:rPr>
    </w:lvl>
    <w:lvl w:ilvl="4" w:tplc="44340692">
      <w:start w:val="1"/>
      <w:numFmt w:val="bullet"/>
      <w:lvlText w:val="o"/>
      <w:lvlJc w:val="left"/>
      <w:pPr>
        <w:ind w:left="4140" w:hanging="360"/>
      </w:pPr>
      <w:rPr>
        <w:rFonts w:ascii="Courier New" w:hAnsi="Courier New"/>
      </w:rPr>
    </w:lvl>
    <w:lvl w:ilvl="5" w:tplc="82B4D3BA">
      <w:start w:val="1"/>
      <w:numFmt w:val="bullet"/>
      <w:lvlText w:val=""/>
      <w:lvlJc w:val="left"/>
      <w:pPr>
        <w:ind w:left="4860" w:hanging="360"/>
      </w:pPr>
      <w:rPr>
        <w:rFonts w:ascii="Wingdings" w:hAnsi="Wingdings"/>
      </w:rPr>
    </w:lvl>
    <w:lvl w:ilvl="6" w:tplc="09C40AF4">
      <w:start w:val="1"/>
      <w:numFmt w:val="bullet"/>
      <w:lvlText w:val=""/>
      <w:lvlJc w:val="left"/>
      <w:pPr>
        <w:ind w:left="5580" w:hanging="360"/>
      </w:pPr>
      <w:rPr>
        <w:rFonts w:ascii="Symbol" w:hAnsi="Symbol"/>
      </w:rPr>
    </w:lvl>
    <w:lvl w:ilvl="7" w:tplc="872C14F6">
      <w:start w:val="1"/>
      <w:numFmt w:val="bullet"/>
      <w:lvlText w:val="o"/>
      <w:lvlJc w:val="left"/>
      <w:pPr>
        <w:ind w:left="6300" w:hanging="360"/>
      </w:pPr>
      <w:rPr>
        <w:rFonts w:ascii="Courier New" w:hAnsi="Courier New"/>
      </w:rPr>
    </w:lvl>
    <w:lvl w:ilvl="8" w:tplc="6BBC680C">
      <w:start w:val="1"/>
      <w:numFmt w:val="bullet"/>
      <w:lvlText w:val=""/>
      <w:lvlJc w:val="left"/>
      <w:pPr>
        <w:ind w:left="7020" w:hanging="360"/>
      </w:pPr>
      <w:rPr>
        <w:rFonts w:ascii="Wingdings" w:hAnsi="Wingdings"/>
      </w:rPr>
    </w:lvl>
  </w:abstractNum>
  <w:abstractNum w:abstractNumId="4">
    <w:nsid w:val="0C083CE1"/>
    <w:multiLevelType w:val="hybridMultilevel"/>
    <w:tmpl w:val="7348F218"/>
    <w:lvl w:ilvl="0" w:tplc="119CF26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 w:tplc="B8F663CE">
      <w:start w:val="1"/>
      <w:numFmt w:val="bullet"/>
      <w:lvlText w:val="o"/>
      <w:lvlJc w:val="left"/>
      <w:pPr>
        <w:ind w:left="1980" w:hanging="360"/>
      </w:pPr>
      <w:rPr>
        <w:rFonts w:ascii="Courier New" w:hAnsi="Courier New"/>
      </w:rPr>
    </w:lvl>
    <w:lvl w:ilvl="2" w:tplc="71844A1C">
      <w:start w:val="1"/>
      <w:numFmt w:val="bullet"/>
      <w:lvlText w:val=""/>
      <w:lvlJc w:val="left"/>
      <w:pPr>
        <w:ind w:left="2700" w:hanging="360"/>
      </w:pPr>
      <w:rPr>
        <w:rFonts w:ascii="Wingdings" w:hAnsi="Wingdings"/>
      </w:rPr>
    </w:lvl>
    <w:lvl w:ilvl="3" w:tplc="6B203650">
      <w:start w:val="1"/>
      <w:numFmt w:val="bullet"/>
      <w:lvlText w:val=""/>
      <w:lvlJc w:val="left"/>
      <w:pPr>
        <w:ind w:left="3420" w:hanging="360"/>
      </w:pPr>
      <w:rPr>
        <w:rFonts w:ascii="Symbol" w:hAnsi="Symbol"/>
      </w:rPr>
    </w:lvl>
    <w:lvl w:ilvl="4" w:tplc="E482F0A4">
      <w:start w:val="1"/>
      <w:numFmt w:val="bullet"/>
      <w:lvlText w:val="o"/>
      <w:lvlJc w:val="left"/>
      <w:pPr>
        <w:ind w:left="4140" w:hanging="360"/>
      </w:pPr>
      <w:rPr>
        <w:rFonts w:ascii="Courier New" w:hAnsi="Courier New"/>
      </w:rPr>
    </w:lvl>
    <w:lvl w:ilvl="5" w:tplc="80A6C100">
      <w:start w:val="1"/>
      <w:numFmt w:val="bullet"/>
      <w:lvlText w:val=""/>
      <w:lvlJc w:val="left"/>
      <w:pPr>
        <w:ind w:left="4860" w:hanging="360"/>
      </w:pPr>
      <w:rPr>
        <w:rFonts w:ascii="Wingdings" w:hAnsi="Wingdings"/>
      </w:rPr>
    </w:lvl>
    <w:lvl w:ilvl="6" w:tplc="A83EC79C">
      <w:start w:val="1"/>
      <w:numFmt w:val="bullet"/>
      <w:lvlText w:val=""/>
      <w:lvlJc w:val="left"/>
      <w:pPr>
        <w:ind w:left="5580" w:hanging="360"/>
      </w:pPr>
      <w:rPr>
        <w:rFonts w:ascii="Symbol" w:hAnsi="Symbol"/>
      </w:rPr>
    </w:lvl>
    <w:lvl w:ilvl="7" w:tplc="3BD6E5D6">
      <w:start w:val="1"/>
      <w:numFmt w:val="bullet"/>
      <w:lvlText w:val="o"/>
      <w:lvlJc w:val="left"/>
      <w:pPr>
        <w:ind w:left="6300" w:hanging="360"/>
      </w:pPr>
      <w:rPr>
        <w:rFonts w:ascii="Courier New" w:hAnsi="Courier New"/>
      </w:rPr>
    </w:lvl>
    <w:lvl w:ilvl="8" w:tplc="BE66CCFC">
      <w:start w:val="1"/>
      <w:numFmt w:val="bullet"/>
      <w:lvlText w:val=""/>
      <w:lvlJc w:val="left"/>
      <w:pPr>
        <w:ind w:left="7020" w:hanging="360"/>
      </w:pPr>
      <w:rPr>
        <w:rFonts w:ascii="Wingdings" w:hAnsi="Wingdings"/>
      </w:rPr>
    </w:lvl>
  </w:abstractNum>
  <w:abstractNum w:abstractNumId="5">
    <w:nsid w:val="0ED94FF7"/>
    <w:multiLevelType w:val="hybridMultilevel"/>
    <w:tmpl w:val="F810098C"/>
    <w:lvl w:ilvl="0" w:tplc="8E98E3D6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plc="1DD84364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plc="CF2EADBC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plc="93246B2A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plc="97CE24E8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plc="5400F75A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plc="E2124B0E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plc="AA9CB69A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plc="CE288FE4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496516"/>
    <w:multiLevelType w:val="hybridMultilevel"/>
    <w:tmpl w:val="AA5AAA4E"/>
    <w:lvl w:ilvl="0" w:tplc="21D6518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plc="11CE6302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D13A517E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9E80283C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CE72A90C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A4EA2ACA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EEACCF08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E25442EE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1BF4B4F2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189A1173"/>
    <w:multiLevelType w:val="hybridMultilevel"/>
    <w:tmpl w:val="4D729EB6"/>
    <w:lvl w:ilvl="0" w:tplc="39E0CB1C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plc="64C2DCC6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plc="17B86CF4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plc="29BC5F2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plc="3236A6B2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plc="A23A1972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plc="69E2699C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plc="03288468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plc="E96A39EE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53774F2"/>
    <w:multiLevelType w:val="hybridMultilevel"/>
    <w:tmpl w:val="6F2A0150"/>
    <w:lvl w:ilvl="0" w:tplc="C57A4BC2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plc="A93628CC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plc="7A28B4BC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plc="362A3C26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plc="D0C2625C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plc="CC5A5086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plc="77162C3E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plc="A93AABFE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plc="C544578E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233FDE"/>
    <w:multiLevelType w:val="hybridMultilevel"/>
    <w:tmpl w:val="DE82C7E0"/>
    <w:lvl w:ilvl="0" w:tplc="72A2216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plc="A904998C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2CCA896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909C1278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CB5C1642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3FDC5742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DC90FB94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22D48FAE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7FD220AA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>
    <w:nsid w:val="26B40C64"/>
    <w:multiLevelType w:val="hybridMultilevel"/>
    <w:tmpl w:val="2BBA08E0"/>
    <w:lvl w:ilvl="0" w:tplc="E98A11B8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plc="34E0FCBC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593A9CA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4A308326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E33AC702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10DAC27E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11646F0C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A73A0F82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5FE2E45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>
    <w:nsid w:val="29DB76FB"/>
    <w:multiLevelType w:val="hybridMultilevel"/>
    <w:tmpl w:val="9210D456"/>
    <w:lvl w:ilvl="0" w:tplc="A1BAF424">
      <w:start w:val="1"/>
      <w:numFmt w:val="decimal"/>
      <w:lvlText w:val="%1."/>
      <w:lvlJc w:val="left"/>
      <w:pPr>
        <w:ind w:left="709" w:hanging="360"/>
      </w:pPr>
    </w:lvl>
    <w:lvl w:ilvl="1" w:tplc="B66E4F9C">
      <w:start w:val="1"/>
      <w:numFmt w:val="lowerLetter"/>
      <w:lvlText w:val="%2."/>
      <w:lvlJc w:val="left"/>
      <w:pPr>
        <w:ind w:left="1429" w:hanging="360"/>
      </w:pPr>
    </w:lvl>
    <w:lvl w:ilvl="2" w:tplc="987C627A">
      <w:start w:val="1"/>
      <w:numFmt w:val="lowerRoman"/>
      <w:lvlText w:val="%3."/>
      <w:lvlJc w:val="right"/>
      <w:pPr>
        <w:ind w:left="2149" w:hanging="180"/>
      </w:pPr>
    </w:lvl>
    <w:lvl w:ilvl="3" w:tplc="4D66A45C">
      <w:start w:val="1"/>
      <w:numFmt w:val="decimal"/>
      <w:lvlText w:val="%4."/>
      <w:lvlJc w:val="left"/>
      <w:pPr>
        <w:ind w:left="2869" w:hanging="360"/>
      </w:pPr>
    </w:lvl>
    <w:lvl w:ilvl="4" w:tplc="E1B46CCE">
      <w:start w:val="1"/>
      <w:numFmt w:val="lowerLetter"/>
      <w:lvlText w:val="%5."/>
      <w:lvlJc w:val="left"/>
      <w:pPr>
        <w:ind w:left="3589" w:hanging="360"/>
      </w:pPr>
    </w:lvl>
    <w:lvl w:ilvl="5" w:tplc="8F8EA6F4">
      <w:start w:val="1"/>
      <w:numFmt w:val="lowerRoman"/>
      <w:lvlText w:val="%6."/>
      <w:lvlJc w:val="right"/>
      <w:pPr>
        <w:ind w:left="4309" w:hanging="180"/>
      </w:pPr>
    </w:lvl>
    <w:lvl w:ilvl="6" w:tplc="77AC8436">
      <w:start w:val="1"/>
      <w:numFmt w:val="decimal"/>
      <w:lvlText w:val="%7."/>
      <w:lvlJc w:val="left"/>
      <w:pPr>
        <w:ind w:left="5029" w:hanging="360"/>
      </w:pPr>
    </w:lvl>
    <w:lvl w:ilvl="7" w:tplc="96E68C48">
      <w:start w:val="1"/>
      <w:numFmt w:val="lowerLetter"/>
      <w:lvlText w:val="%8."/>
      <w:lvlJc w:val="left"/>
      <w:pPr>
        <w:ind w:left="5749" w:hanging="360"/>
      </w:pPr>
    </w:lvl>
    <w:lvl w:ilvl="8" w:tplc="356CC2DE">
      <w:start w:val="1"/>
      <w:numFmt w:val="lowerRoman"/>
      <w:lvlText w:val="%9."/>
      <w:lvlJc w:val="right"/>
      <w:pPr>
        <w:ind w:left="6469" w:hanging="180"/>
      </w:pPr>
    </w:lvl>
  </w:abstractNum>
  <w:abstractNum w:abstractNumId="12">
    <w:nsid w:val="2AE13626"/>
    <w:multiLevelType w:val="hybridMultilevel"/>
    <w:tmpl w:val="0CE63952"/>
    <w:lvl w:ilvl="0" w:tplc="806E6154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 w:tplc="31F4EE8C">
      <w:start w:val="1"/>
      <w:numFmt w:val="bullet"/>
      <w:lvlText w:val="o"/>
      <w:lvlJc w:val="left"/>
      <w:pPr>
        <w:ind w:left="1980" w:hanging="360"/>
      </w:pPr>
      <w:rPr>
        <w:rFonts w:ascii="Courier New" w:hAnsi="Courier New"/>
      </w:rPr>
    </w:lvl>
    <w:lvl w:ilvl="2" w:tplc="241A806A">
      <w:start w:val="1"/>
      <w:numFmt w:val="bullet"/>
      <w:lvlText w:val=""/>
      <w:lvlJc w:val="left"/>
      <w:pPr>
        <w:ind w:left="2700" w:hanging="360"/>
      </w:pPr>
      <w:rPr>
        <w:rFonts w:ascii="Wingdings" w:hAnsi="Wingdings"/>
      </w:rPr>
    </w:lvl>
    <w:lvl w:ilvl="3" w:tplc="DFAA11C0">
      <w:start w:val="1"/>
      <w:numFmt w:val="bullet"/>
      <w:lvlText w:val=""/>
      <w:lvlJc w:val="left"/>
      <w:pPr>
        <w:ind w:left="3420" w:hanging="360"/>
      </w:pPr>
      <w:rPr>
        <w:rFonts w:ascii="Symbol" w:hAnsi="Symbol"/>
      </w:rPr>
    </w:lvl>
    <w:lvl w:ilvl="4" w:tplc="36560D50">
      <w:start w:val="1"/>
      <w:numFmt w:val="bullet"/>
      <w:lvlText w:val="o"/>
      <w:lvlJc w:val="left"/>
      <w:pPr>
        <w:ind w:left="4140" w:hanging="360"/>
      </w:pPr>
      <w:rPr>
        <w:rFonts w:ascii="Courier New" w:hAnsi="Courier New"/>
      </w:rPr>
    </w:lvl>
    <w:lvl w:ilvl="5" w:tplc="2E365BE8">
      <w:start w:val="1"/>
      <w:numFmt w:val="bullet"/>
      <w:lvlText w:val=""/>
      <w:lvlJc w:val="left"/>
      <w:pPr>
        <w:ind w:left="4860" w:hanging="360"/>
      </w:pPr>
      <w:rPr>
        <w:rFonts w:ascii="Wingdings" w:hAnsi="Wingdings"/>
      </w:rPr>
    </w:lvl>
    <w:lvl w:ilvl="6" w:tplc="5B0E7A38">
      <w:start w:val="1"/>
      <w:numFmt w:val="bullet"/>
      <w:lvlText w:val=""/>
      <w:lvlJc w:val="left"/>
      <w:pPr>
        <w:ind w:left="5580" w:hanging="360"/>
      </w:pPr>
      <w:rPr>
        <w:rFonts w:ascii="Symbol" w:hAnsi="Symbol"/>
      </w:rPr>
    </w:lvl>
    <w:lvl w:ilvl="7" w:tplc="46C0BD18">
      <w:start w:val="1"/>
      <w:numFmt w:val="bullet"/>
      <w:lvlText w:val="o"/>
      <w:lvlJc w:val="left"/>
      <w:pPr>
        <w:ind w:left="6300" w:hanging="360"/>
      </w:pPr>
      <w:rPr>
        <w:rFonts w:ascii="Courier New" w:hAnsi="Courier New"/>
      </w:rPr>
    </w:lvl>
    <w:lvl w:ilvl="8" w:tplc="E7D804E0">
      <w:start w:val="1"/>
      <w:numFmt w:val="bullet"/>
      <w:lvlText w:val=""/>
      <w:lvlJc w:val="left"/>
      <w:pPr>
        <w:ind w:left="7020" w:hanging="360"/>
      </w:pPr>
      <w:rPr>
        <w:rFonts w:ascii="Wingdings" w:hAnsi="Wingdings"/>
      </w:rPr>
    </w:lvl>
  </w:abstractNum>
  <w:abstractNum w:abstractNumId="13">
    <w:nsid w:val="2B3555A5"/>
    <w:multiLevelType w:val="hybridMultilevel"/>
    <w:tmpl w:val="C2CEECA4"/>
    <w:lvl w:ilvl="0" w:tplc="E706641E">
      <w:start w:val="1"/>
      <w:numFmt w:val="decimal"/>
      <w:lvlText w:val="%1."/>
      <w:lvlJc w:val="left"/>
      <w:pPr>
        <w:ind w:left="709" w:hanging="360"/>
      </w:pPr>
    </w:lvl>
    <w:lvl w:ilvl="1" w:tplc="5F28EB3A">
      <w:start w:val="1"/>
      <w:numFmt w:val="lowerLetter"/>
      <w:lvlText w:val="%2."/>
      <w:lvlJc w:val="left"/>
      <w:pPr>
        <w:ind w:left="1429" w:hanging="360"/>
      </w:pPr>
    </w:lvl>
    <w:lvl w:ilvl="2" w:tplc="C6BA6CFC">
      <w:start w:val="1"/>
      <w:numFmt w:val="lowerRoman"/>
      <w:lvlText w:val="%3."/>
      <w:lvlJc w:val="right"/>
      <w:pPr>
        <w:ind w:left="2149" w:hanging="180"/>
      </w:pPr>
    </w:lvl>
    <w:lvl w:ilvl="3" w:tplc="94DC2FB6">
      <w:start w:val="1"/>
      <w:numFmt w:val="decimal"/>
      <w:lvlText w:val="%4."/>
      <w:lvlJc w:val="left"/>
      <w:pPr>
        <w:ind w:left="2869" w:hanging="360"/>
      </w:pPr>
    </w:lvl>
    <w:lvl w:ilvl="4" w:tplc="D3E45D00">
      <w:start w:val="1"/>
      <w:numFmt w:val="lowerLetter"/>
      <w:lvlText w:val="%5."/>
      <w:lvlJc w:val="left"/>
      <w:pPr>
        <w:ind w:left="3589" w:hanging="360"/>
      </w:pPr>
    </w:lvl>
    <w:lvl w:ilvl="5" w:tplc="64C44658">
      <w:start w:val="1"/>
      <w:numFmt w:val="lowerRoman"/>
      <w:lvlText w:val="%6."/>
      <w:lvlJc w:val="right"/>
      <w:pPr>
        <w:ind w:left="4309" w:hanging="180"/>
      </w:pPr>
    </w:lvl>
    <w:lvl w:ilvl="6" w:tplc="22268CF2">
      <w:start w:val="1"/>
      <w:numFmt w:val="decimal"/>
      <w:lvlText w:val="%7."/>
      <w:lvlJc w:val="left"/>
      <w:pPr>
        <w:ind w:left="5029" w:hanging="360"/>
      </w:pPr>
    </w:lvl>
    <w:lvl w:ilvl="7" w:tplc="9F16BAC6">
      <w:start w:val="1"/>
      <w:numFmt w:val="lowerLetter"/>
      <w:lvlText w:val="%8."/>
      <w:lvlJc w:val="left"/>
      <w:pPr>
        <w:ind w:left="5749" w:hanging="360"/>
      </w:pPr>
    </w:lvl>
    <w:lvl w:ilvl="8" w:tplc="C8E6CB80">
      <w:start w:val="1"/>
      <w:numFmt w:val="lowerRoman"/>
      <w:lvlText w:val="%9."/>
      <w:lvlJc w:val="right"/>
      <w:pPr>
        <w:ind w:left="6469" w:hanging="180"/>
      </w:pPr>
    </w:lvl>
  </w:abstractNum>
  <w:abstractNum w:abstractNumId="14">
    <w:nsid w:val="2B3A0EE3"/>
    <w:multiLevelType w:val="hybridMultilevel"/>
    <w:tmpl w:val="75C2FC14"/>
    <w:lvl w:ilvl="0" w:tplc="4C3C1558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plc="229AD3B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C3F2ADBA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5B3A58B4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661E1F2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1E5C2162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2320D29E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6E8EA974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56A43206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">
    <w:nsid w:val="2C376429"/>
    <w:multiLevelType w:val="hybridMultilevel"/>
    <w:tmpl w:val="89B8C808"/>
    <w:lvl w:ilvl="0" w:tplc="8F089F56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 w:tplc="2E420AF4">
      <w:start w:val="1"/>
      <w:numFmt w:val="bullet"/>
      <w:lvlText w:val="o"/>
      <w:lvlJc w:val="left"/>
      <w:pPr>
        <w:ind w:left="1980" w:hanging="360"/>
      </w:pPr>
      <w:rPr>
        <w:rFonts w:ascii="Courier New" w:hAnsi="Courier New"/>
      </w:rPr>
    </w:lvl>
    <w:lvl w:ilvl="2" w:tplc="B3BA78C0">
      <w:start w:val="1"/>
      <w:numFmt w:val="bullet"/>
      <w:lvlText w:val=""/>
      <w:lvlJc w:val="left"/>
      <w:pPr>
        <w:ind w:left="2700" w:hanging="360"/>
      </w:pPr>
      <w:rPr>
        <w:rFonts w:ascii="Wingdings" w:hAnsi="Wingdings"/>
      </w:rPr>
    </w:lvl>
    <w:lvl w:ilvl="3" w:tplc="DBD64CCE">
      <w:start w:val="1"/>
      <w:numFmt w:val="bullet"/>
      <w:lvlText w:val=""/>
      <w:lvlJc w:val="left"/>
      <w:pPr>
        <w:ind w:left="3420" w:hanging="360"/>
      </w:pPr>
      <w:rPr>
        <w:rFonts w:ascii="Symbol" w:hAnsi="Symbol"/>
      </w:rPr>
    </w:lvl>
    <w:lvl w:ilvl="4" w:tplc="F516DB6C">
      <w:start w:val="1"/>
      <w:numFmt w:val="bullet"/>
      <w:lvlText w:val="o"/>
      <w:lvlJc w:val="left"/>
      <w:pPr>
        <w:ind w:left="4140" w:hanging="360"/>
      </w:pPr>
      <w:rPr>
        <w:rFonts w:ascii="Courier New" w:hAnsi="Courier New"/>
      </w:rPr>
    </w:lvl>
    <w:lvl w:ilvl="5" w:tplc="7C042EA6">
      <w:start w:val="1"/>
      <w:numFmt w:val="bullet"/>
      <w:lvlText w:val=""/>
      <w:lvlJc w:val="left"/>
      <w:pPr>
        <w:ind w:left="4860" w:hanging="360"/>
      </w:pPr>
      <w:rPr>
        <w:rFonts w:ascii="Wingdings" w:hAnsi="Wingdings"/>
      </w:rPr>
    </w:lvl>
    <w:lvl w:ilvl="6" w:tplc="102A703A">
      <w:start w:val="1"/>
      <w:numFmt w:val="bullet"/>
      <w:lvlText w:val=""/>
      <w:lvlJc w:val="left"/>
      <w:pPr>
        <w:ind w:left="5580" w:hanging="360"/>
      </w:pPr>
      <w:rPr>
        <w:rFonts w:ascii="Symbol" w:hAnsi="Symbol"/>
      </w:rPr>
    </w:lvl>
    <w:lvl w:ilvl="7" w:tplc="E2D0DBD6">
      <w:start w:val="1"/>
      <w:numFmt w:val="bullet"/>
      <w:lvlText w:val="o"/>
      <w:lvlJc w:val="left"/>
      <w:pPr>
        <w:ind w:left="6300" w:hanging="360"/>
      </w:pPr>
      <w:rPr>
        <w:rFonts w:ascii="Courier New" w:hAnsi="Courier New"/>
      </w:rPr>
    </w:lvl>
    <w:lvl w:ilvl="8" w:tplc="5C26A936">
      <w:start w:val="1"/>
      <w:numFmt w:val="bullet"/>
      <w:lvlText w:val=""/>
      <w:lvlJc w:val="left"/>
      <w:pPr>
        <w:ind w:left="7020" w:hanging="360"/>
      </w:pPr>
      <w:rPr>
        <w:rFonts w:ascii="Wingdings" w:hAnsi="Wingdings"/>
      </w:rPr>
    </w:lvl>
  </w:abstractNum>
  <w:abstractNum w:abstractNumId="16">
    <w:nsid w:val="2CA74D1D"/>
    <w:multiLevelType w:val="hybridMultilevel"/>
    <w:tmpl w:val="147E7ABA"/>
    <w:lvl w:ilvl="0" w:tplc="C2AE0EE2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plc="40B6F04A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plc="D14A79DA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plc="20049184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plc="1CC046D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plc="ECECDC9E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plc="2CF89B7A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plc="FDDEE70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plc="786C6AD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CE160A6"/>
    <w:multiLevelType w:val="hybridMultilevel"/>
    <w:tmpl w:val="1E24AA42"/>
    <w:lvl w:ilvl="0" w:tplc="448AF68E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plc="2EBEA2BA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2CC6F26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E4761358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724C272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EEA93CC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5E7C1438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1DD4C2F2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3CDAF1F4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8">
    <w:nsid w:val="355C51FD"/>
    <w:multiLevelType w:val="hybridMultilevel"/>
    <w:tmpl w:val="2C9CE22C"/>
    <w:lvl w:ilvl="0" w:tplc="4B26414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 w:tplc="4BB259A8">
      <w:start w:val="1"/>
      <w:numFmt w:val="bullet"/>
      <w:lvlText w:val="o"/>
      <w:lvlJc w:val="left"/>
      <w:pPr>
        <w:ind w:left="1980" w:hanging="360"/>
      </w:pPr>
      <w:rPr>
        <w:rFonts w:ascii="Courier New" w:hAnsi="Courier New"/>
      </w:rPr>
    </w:lvl>
    <w:lvl w:ilvl="2" w:tplc="018E22DA">
      <w:start w:val="1"/>
      <w:numFmt w:val="bullet"/>
      <w:lvlText w:val=""/>
      <w:lvlJc w:val="left"/>
      <w:pPr>
        <w:ind w:left="2700" w:hanging="360"/>
      </w:pPr>
      <w:rPr>
        <w:rFonts w:ascii="Wingdings" w:hAnsi="Wingdings"/>
      </w:rPr>
    </w:lvl>
    <w:lvl w:ilvl="3" w:tplc="5E9E6D30">
      <w:start w:val="1"/>
      <w:numFmt w:val="bullet"/>
      <w:lvlText w:val=""/>
      <w:lvlJc w:val="left"/>
      <w:pPr>
        <w:ind w:left="3420" w:hanging="360"/>
      </w:pPr>
      <w:rPr>
        <w:rFonts w:ascii="Symbol" w:hAnsi="Symbol"/>
      </w:rPr>
    </w:lvl>
    <w:lvl w:ilvl="4" w:tplc="657258F8">
      <w:start w:val="1"/>
      <w:numFmt w:val="bullet"/>
      <w:lvlText w:val="o"/>
      <w:lvlJc w:val="left"/>
      <w:pPr>
        <w:ind w:left="4140" w:hanging="360"/>
      </w:pPr>
      <w:rPr>
        <w:rFonts w:ascii="Courier New" w:hAnsi="Courier New"/>
      </w:rPr>
    </w:lvl>
    <w:lvl w:ilvl="5" w:tplc="7FB23938">
      <w:start w:val="1"/>
      <w:numFmt w:val="bullet"/>
      <w:lvlText w:val=""/>
      <w:lvlJc w:val="left"/>
      <w:pPr>
        <w:ind w:left="4860" w:hanging="360"/>
      </w:pPr>
      <w:rPr>
        <w:rFonts w:ascii="Wingdings" w:hAnsi="Wingdings"/>
      </w:rPr>
    </w:lvl>
    <w:lvl w:ilvl="6" w:tplc="683AEAA2">
      <w:start w:val="1"/>
      <w:numFmt w:val="bullet"/>
      <w:lvlText w:val=""/>
      <w:lvlJc w:val="left"/>
      <w:pPr>
        <w:ind w:left="5580" w:hanging="360"/>
      </w:pPr>
      <w:rPr>
        <w:rFonts w:ascii="Symbol" w:hAnsi="Symbol"/>
      </w:rPr>
    </w:lvl>
    <w:lvl w:ilvl="7" w:tplc="FEEADE56">
      <w:start w:val="1"/>
      <w:numFmt w:val="bullet"/>
      <w:lvlText w:val="o"/>
      <w:lvlJc w:val="left"/>
      <w:pPr>
        <w:ind w:left="6300" w:hanging="360"/>
      </w:pPr>
      <w:rPr>
        <w:rFonts w:ascii="Courier New" w:hAnsi="Courier New"/>
      </w:rPr>
    </w:lvl>
    <w:lvl w:ilvl="8" w:tplc="426A5EA8">
      <w:start w:val="1"/>
      <w:numFmt w:val="bullet"/>
      <w:lvlText w:val=""/>
      <w:lvlJc w:val="left"/>
      <w:pPr>
        <w:ind w:left="7020" w:hanging="360"/>
      </w:pPr>
      <w:rPr>
        <w:rFonts w:ascii="Wingdings" w:hAnsi="Wingdings"/>
      </w:rPr>
    </w:lvl>
  </w:abstractNum>
  <w:abstractNum w:abstractNumId="19">
    <w:nsid w:val="3C1A04A2"/>
    <w:multiLevelType w:val="hybridMultilevel"/>
    <w:tmpl w:val="BF666038"/>
    <w:lvl w:ilvl="0" w:tplc="E272BAE2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plc="0F22EBC8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plc="0602F146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plc="98404AB8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plc="C15A2F68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plc="3998F2E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plc="11AE8D48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plc="64963B34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plc="C764D8AC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C6948C3"/>
    <w:multiLevelType w:val="hybridMultilevel"/>
    <w:tmpl w:val="60DA15DC"/>
    <w:lvl w:ilvl="0" w:tplc="DC683594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plc="BA5E1EC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plc="2C7AA024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plc="32A0A2C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plc="48148402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plc="C0F02A8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plc="B580971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plc="B0787292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plc="DED87DCE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D152021"/>
    <w:multiLevelType w:val="hybridMultilevel"/>
    <w:tmpl w:val="95A8EAD4"/>
    <w:lvl w:ilvl="0" w:tplc="5C0A5CB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 w:tplc="F9F8682E">
      <w:start w:val="1"/>
      <w:numFmt w:val="bullet"/>
      <w:lvlText w:val="o"/>
      <w:lvlJc w:val="left"/>
      <w:pPr>
        <w:ind w:left="1980" w:hanging="360"/>
      </w:pPr>
      <w:rPr>
        <w:rFonts w:ascii="Courier New" w:hAnsi="Courier New"/>
      </w:rPr>
    </w:lvl>
    <w:lvl w:ilvl="2" w:tplc="33C8E8D4">
      <w:start w:val="1"/>
      <w:numFmt w:val="bullet"/>
      <w:lvlText w:val=""/>
      <w:lvlJc w:val="left"/>
      <w:pPr>
        <w:ind w:left="2700" w:hanging="360"/>
      </w:pPr>
      <w:rPr>
        <w:rFonts w:ascii="Wingdings" w:hAnsi="Wingdings"/>
      </w:rPr>
    </w:lvl>
    <w:lvl w:ilvl="3" w:tplc="B61258C4">
      <w:start w:val="1"/>
      <w:numFmt w:val="bullet"/>
      <w:lvlText w:val=""/>
      <w:lvlJc w:val="left"/>
      <w:pPr>
        <w:ind w:left="3420" w:hanging="360"/>
      </w:pPr>
      <w:rPr>
        <w:rFonts w:ascii="Symbol" w:hAnsi="Symbol"/>
      </w:rPr>
    </w:lvl>
    <w:lvl w:ilvl="4" w:tplc="B16649D2">
      <w:start w:val="1"/>
      <w:numFmt w:val="bullet"/>
      <w:lvlText w:val="o"/>
      <w:lvlJc w:val="left"/>
      <w:pPr>
        <w:ind w:left="4140" w:hanging="360"/>
      </w:pPr>
      <w:rPr>
        <w:rFonts w:ascii="Courier New" w:hAnsi="Courier New"/>
      </w:rPr>
    </w:lvl>
    <w:lvl w:ilvl="5" w:tplc="71BA6206">
      <w:start w:val="1"/>
      <w:numFmt w:val="bullet"/>
      <w:lvlText w:val=""/>
      <w:lvlJc w:val="left"/>
      <w:pPr>
        <w:ind w:left="4860" w:hanging="360"/>
      </w:pPr>
      <w:rPr>
        <w:rFonts w:ascii="Wingdings" w:hAnsi="Wingdings"/>
      </w:rPr>
    </w:lvl>
    <w:lvl w:ilvl="6" w:tplc="1D8CC8D2">
      <w:start w:val="1"/>
      <w:numFmt w:val="bullet"/>
      <w:lvlText w:val=""/>
      <w:lvlJc w:val="left"/>
      <w:pPr>
        <w:ind w:left="5580" w:hanging="360"/>
      </w:pPr>
      <w:rPr>
        <w:rFonts w:ascii="Symbol" w:hAnsi="Symbol"/>
      </w:rPr>
    </w:lvl>
    <w:lvl w:ilvl="7" w:tplc="D89A3C10">
      <w:start w:val="1"/>
      <w:numFmt w:val="bullet"/>
      <w:lvlText w:val="o"/>
      <w:lvlJc w:val="left"/>
      <w:pPr>
        <w:ind w:left="6300" w:hanging="360"/>
      </w:pPr>
      <w:rPr>
        <w:rFonts w:ascii="Courier New" w:hAnsi="Courier New"/>
      </w:rPr>
    </w:lvl>
    <w:lvl w:ilvl="8" w:tplc="BAB0A718">
      <w:start w:val="1"/>
      <w:numFmt w:val="bullet"/>
      <w:lvlText w:val=""/>
      <w:lvlJc w:val="left"/>
      <w:pPr>
        <w:ind w:left="7020" w:hanging="360"/>
      </w:pPr>
      <w:rPr>
        <w:rFonts w:ascii="Wingdings" w:hAnsi="Wingdings"/>
      </w:rPr>
    </w:lvl>
  </w:abstractNum>
  <w:abstractNum w:abstractNumId="22">
    <w:nsid w:val="3E4525B3"/>
    <w:multiLevelType w:val="hybridMultilevel"/>
    <w:tmpl w:val="1916B7EC"/>
    <w:lvl w:ilvl="0" w:tplc="66462276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plc="89343A84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6CCEA1F6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E8968538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3DC65F1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668EB776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99967A84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BFD017A2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F55C740E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3">
    <w:nsid w:val="40304603"/>
    <w:multiLevelType w:val="hybridMultilevel"/>
    <w:tmpl w:val="4678E0AA"/>
    <w:lvl w:ilvl="0" w:tplc="5DBC8A0E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 w:tplc="C86C5960">
      <w:start w:val="1"/>
      <w:numFmt w:val="bullet"/>
      <w:lvlText w:val="o"/>
      <w:lvlJc w:val="left"/>
      <w:pPr>
        <w:ind w:left="1980" w:hanging="360"/>
      </w:pPr>
      <w:rPr>
        <w:rFonts w:ascii="Courier New" w:hAnsi="Courier New"/>
      </w:rPr>
    </w:lvl>
    <w:lvl w:ilvl="2" w:tplc="19369E62">
      <w:start w:val="1"/>
      <w:numFmt w:val="bullet"/>
      <w:lvlText w:val=""/>
      <w:lvlJc w:val="left"/>
      <w:pPr>
        <w:ind w:left="2700" w:hanging="360"/>
      </w:pPr>
      <w:rPr>
        <w:rFonts w:ascii="Wingdings" w:hAnsi="Wingdings"/>
      </w:rPr>
    </w:lvl>
    <w:lvl w:ilvl="3" w:tplc="BDD086EA">
      <w:start w:val="1"/>
      <w:numFmt w:val="bullet"/>
      <w:lvlText w:val=""/>
      <w:lvlJc w:val="left"/>
      <w:pPr>
        <w:ind w:left="3420" w:hanging="360"/>
      </w:pPr>
      <w:rPr>
        <w:rFonts w:ascii="Symbol" w:hAnsi="Symbol"/>
      </w:rPr>
    </w:lvl>
    <w:lvl w:ilvl="4" w:tplc="1FB47FEE">
      <w:start w:val="1"/>
      <w:numFmt w:val="bullet"/>
      <w:lvlText w:val="o"/>
      <w:lvlJc w:val="left"/>
      <w:pPr>
        <w:ind w:left="4140" w:hanging="360"/>
      </w:pPr>
      <w:rPr>
        <w:rFonts w:ascii="Courier New" w:hAnsi="Courier New"/>
      </w:rPr>
    </w:lvl>
    <w:lvl w:ilvl="5" w:tplc="2E746FB0">
      <w:start w:val="1"/>
      <w:numFmt w:val="bullet"/>
      <w:lvlText w:val=""/>
      <w:lvlJc w:val="left"/>
      <w:pPr>
        <w:ind w:left="4860" w:hanging="360"/>
      </w:pPr>
      <w:rPr>
        <w:rFonts w:ascii="Wingdings" w:hAnsi="Wingdings"/>
      </w:rPr>
    </w:lvl>
    <w:lvl w:ilvl="6" w:tplc="4A8E9418">
      <w:start w:val="1"/>
      <w:numFmt w:val="bullet"/>
      <w:lvlText w:val=""/>
      <w:lvlJc w:val="left"/>
      <w:pPr>
        <w:ind w:left="5580" w:hanging="360"/>
      </w:pPr>
      <w:rPr>
        <w:rFonts w:ascii="Symbol" w:hAnsi="Symbol"/>
      </w:rPr>
    </w:lvl>
    <w:lvl w:ilvl="7" w:tplc="00F0397E">
      <w:start w:val="1"/>
      <w:numFmt w:val="bullet"/>
      <w:lvlText w:val="o"/>
      <w:lvlJc w:val="left"/>
      <w:pPr>
        <w:ind w:left="6300" w:hanging="360"/>
      </w:pPr>
      <w:rPr>
        <w:rFonts w:ascii="Courier New" w:hAnsi="Courier New"/>
      </w:rPr>
    </w:lvl>
    <w:lvl w:ilvl="8" w:tplc="1E24A9D6">
      <w:start w:val="1"/>
      <w:numFmt w:val="bullet"/>
      <w:lvlText w:val=""/>
      <w:lvlJc w:val="left"/>
      <w:pPr>
        <w:ind w:left="7020" w:hanging="360"/>
      </w:pPr>
      <w:rPr>
        <w:rFonts w:ascii="Wingdings" w:hAnsi="Wingdings"/>
      </w:rPr>
    </w:lvl>
  </w:abstractNum>
  <w:abstractNum w:abstractNumId="24">
    <w:nsid w:val="41395B47"/>
    <w:multiLevelType w:val="hybridMultilevel"/>
    <w:tmpl w:val="09AA0388"/>
    <w:lvl w:ilvl="0" w:tplc="E3F28034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plc="ADC61D1C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plc="048E376A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plc="29B2D99E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plc="3806B516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plc="AB58029E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plc="AF4EB07C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plc="F1525F6E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plc="91760686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1906DF1"/>
    <w:multiLevelType w:val="hybridMultilevel"/>
    <w:tmpl w:val="151AEE04"/>
    <w:lvl w:ilvl="0" w:tplc="991E820E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plc="C14E436C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E0B4E72E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531026F2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58FC1EB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97DEBF22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2DE03C54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DE6A147C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3692E212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6">
    <w:nsid w:val="43AB2769"/>
    <w:multiLevelType w:val="multilevel"/>
    <w:tmpl w:val="96305D9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7">
    <w:nsid w:val="48617449"/>
    <w:multiLevelType w:val="hybridMultilevel"/>
    <w:tmpl w:val="D42066C8"/>
    <w:lvl w:ilvl="0" w:tplc="76587FB8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plc="3F24CC32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plc="4BAC8BF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plc="27AA1286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plc="1380973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plc="7BDABBEE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plc="4AA89E1C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plc="3DD2FD32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plc="06D8F42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92C55E4"/>
    <w:multiLevelType w:val="hybridMultilevel"/>
    <w:tmpl w:val="9974A086"/>
    <w:lvl w:ilvl="0" w:tplc="D2689224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plc="159ED17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plc="53EC1E1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plc="9BEC58B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plc="BDDAD8C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plc="5A805824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plc="BF98E5B8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plc="697408C2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plc="630C46B2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CDC5079"/>
    <w:multiLevelType w:val="hybridMultilevel"/>
    <w:tmpl w:val="FF32D9BE"/>
    <w:lvl w:ilvl="0" w:tplc="F2624576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 w:tplc="2EE8E29E">
      <w:start w:val="1"/>
      <w:numFmt w:val="bullet"/>
      <w:lvlText w:val="o"/>
      <w:lvlJc w:val="left"/>
      <w:pPr>
        <w:ind w:left="1980" w:hanging="360"/>
      </w:pPr>
      <w:rPr>
        <w:rFonts w:ascii="Courier New" w:hAnsi="Courier New"/>
      </w:rPr>
    </w:lvl>
    <w:lvl w:ilvl="2" w:tplc="57F005EE">
      <w:start w:val="1"/>
      <w:numFmt w:val="bullet"/>
      <w:lvlText w:val=""/>
      <w:lvlJc w:val="left"/>
      <w:pPr>
        <w:ind w:left="2700" w:hanging="360"/>
      </w:pPr>
      <w:rPr>
        <w:rFonts w:ascii="Wingdings" w:hAnsi="Wingdings"/>
      </w:rPr>
    </w:lvl>
    <w:lvl w:ilvl="3" w:tplc="DFF2ED80">
      <w:start w:val="1"/>
      <w:numFmt w:val="bullet"/>
      <w:lvlText w:val=""/>
      <w:lvlJc w:val="left"/>
      <w:pPr>
        <w:ind w:left="3420" w:hanging="360"/>
      </w:pPr>
      <w:rPr>
        <w:rFonts w:ascii="Symbol" w:hAnsi="Symbol"/>
      </w:rPr>
    </w:lvl>
    <w:lvl w:ilvl="4" w:tplc="EE9EA87E">
      <w:start w:val="1"/>
      <w:numFmt w:val="bullet"/>
      <w:lvlText w:val="o"/>
      <w:lvlJc w:val="left"/>
      <w:pPr>
        <w:ind w:left="4140" w:hanging="360"/>
      </w:pPr>
      <w:rPr>
        <w:rFonts w:ascii="Courier New" w:hAnsi="Courier New"/>
      </w:rPr>
    </w:lvl>
    <w:lvl w:ilvl="5" w:tplc="99B06B0A">
      <w:start w:val="1"/>
      <w:numFmt w:val="bullet"/>
      <w:lvlText w:val=""/>
      <w:lvlJc w:val="left"/>
      <w:pPr>
        <w:ind w:left="4860" w:hanging="360"/>
      </w:pPr>
      <w:rPr>
        <w:rFonts w:ascii="Wingdings" w:hAnsi="Wingdings"/>
      </w:rPr>
    </w:lvl>
    <w:lvl w:ilvl="6" w:tplc="B792E690">
      <w:start w:val="1"/>
      <w:numFmt w:val="bullet"/>
      <w:lvlText w:val=""/>
      <w:lvlJc w:val="left"/>
      <w:pPr>
        <w:ind w:left="5580" w:hanging="360"/>
      </w:pPr>
      <w:rPr>
        <w:rFonts w:ascii="Symbol" w:hAnsi="Symbol"/>
      </w:rPr>
    </w:lvl>
    <w:lvl w:ilvl="7" w:tplc="B85AC25A">
      <w:start w:val="1"/>
      <w:numFmt w:val="bullet"/>
      <w:lvlText w:val="o"/>
      <w:lvlJc w:val="left"/>
      <w:pPr>
        <w:ind w:left="6300" w:hanging="360"/>
      </w:pPr>
      <w:rPr>
        <w:rFonts w:ascii="Courier New" w:hAnsi="Courier New"/>
      </w:rPr>
    </w:lvl>
    <w:lvl w:ilvl="8" w:tplc="AAAC1CD4">
      <w:start w:val="1"/>
      <w:numFmt w:val="bullet"/>
      <w:lvlText w:val=""/>
      <w:lvlJc w:val="left"/>
      <w:pPr>
        <w:ind w:left="7020" w:hanging="360"/>
      </w:pPr>
      <w:rPr>
        <w:rFonts w:ascii="Wingdings" w:hAnsi="Wingdings"/>
      </w:rPr>
    </w:lvl>
  </w:abstractNum>
  <w:abstractNum w:abstractNumId="30">
    <w:nsid w:val="4F29208C"/>
    <w:multiLevelType w:val="hybridMultilevel"/>
    <w:tmpl w:val="924E61CE"/>
    <w:lvl w:ilvl="0" w:tplc="7348FC8C">
      <w:start w:val="1"/>
      <w:numFmt w:val="decimal"/>
      <w:lvlText w:val="%1."/>
      <w:lvlJc w:val="left"/>
      <w:pPr>
        <w:ind w:left="709" w:hanging="360"/>
      </w:pPr>
    </w:lvl>
    <w:lvl w:ilvl="1" w:tplc="1C2AF6C8">
      <w:start w:val="1"/>
      <w:numFmt w:val="lowerLetter"/>
      <w:lvlText w:val="%2."/>
      <w:lvlJc w:val="left"/>
      <w:pPr>
        <w:ind w:left="1429" w:hanging="360"/>
      </w:pPr>
    </w:lvl>
    <w:lvl w:ilvl="2" w:tplc="E1BCA944">
      <w:start w:val="1"/>
      <w:numFmt w:val="lowerRoman"/>
      <w:lvlText w:val="%3."/>
      <w:lvlJc w:val="right"/>
      <w:pPr>
        <w:ind w:left="2149" w:hanging="180"/>
      </w:pPr>
    </w:lvl>
    <w:lvl w:ilvl="3" w:tplc="3DCC36FA">
      <w:start w:val="1"/>
      <w:numFmt w:val="decimal"/>
      <w:lvlText w:val="%4."/>
      <w:lvlJc w:val="left"/>
      <w:pPr>
        <w:ind w:left="2869" w:hanging="360"/>
      </w:pPr>
    </w:lvl>
    <w:lvl w:ilvl="4" w:tplc="9B244D88">
      <w:start w:val="1"/>
      <w:numFmt w:val="lowerLetter"/>
      <w:lvlText w:val="%5."/>
      <w:lvlJc w:val="left"/>
      <w:pPr>
        <w:ind w:left="3589" w:hanging="360"/>
      </w:pPr>
    </w:lvl>
    <w:lvl w:ilvl="5" w:tplc="BF246DE6">
      <w:start w:val="1"/>
      <w:numFmt w:val="lowerRoman"/>
      <w:lvlText w:val="%6."/>
      <w:lvlJc w:val="right"/>
      <w:pPr>
        <w:ind w:left="4309" w:hanging="180"/>
      </w:pPr>
    </w:lvl>
    <w:lvl w:ilvl="6" w:tplc="9D9E3CF0">
      <w:start w:val="1"/>
      <w:numFmt w:val="decimal"/>
      <w:lvlText w:val="%7."/>
      <w:lvlJc w:val="left"/>
      <w:pPr>
        <w:ind w:left="5029" w:hanging="360"/>
      </w:pPr>
    </w:lvl>
    <w:lvl w:ilvl="7" w:tplc="45F66AAE">
      <w:start w:val="1"/>
      <w:numFmt w:val="lowerLetter"/>
      <w:lvlText w:val="%8."/>
      <w:lvlJc w:val="left"/>
      <w:pPr>
        <w:ind w:left="5749" w:hanging="360"/>
      </w:pPr>
    </w:lvl>
    <w:lvl w:ilvl="8" w:tplc="20E0A452">
      <w:start w:val="1"/>
      <w:numFmt w:val="lowerRoman"/>
      <w:lvlText w:val="%9."/>
      <w:lvlJc w:val="right"/>
      <w:pPr>
        <w:ind w:left="6469" w:hanging="180"/>
      </w:pPr>
    </w:lvl>
  </w:abstractNum>
  <w:abstractNum w:abstractNumId="31">
    <w:nsid w:val="525141EB"/>
    <w:multiLevelType w:val="hybridMultilevel"/>
    <w:tmpl w:val="4E2C4852"/>
    <w:lvl w:ilvl="0" w:tplc="D7069808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plc="14963A96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plc="1BDC2646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plc="B82E3FC6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plc="EEC8194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plc="CA46851C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plc="EF6A79E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plc="CA1E675A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plc="5B648D6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2A01659"/>
    <w:multiLevelType w:val="hybridMultilevel"/>
    <w:tmpl w:val="FF26DB90"/>
    <w:lvl w:ilvl="0" w:tplc="E354A06A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plc="AE00C07C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plc="D0E0B31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plc="DFD81FAA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plc="40A21536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plc="091EFFBE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plc="A628F50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plc="BC2EA22A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plc="BF0257BA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49A5079"/>
    <w:multiLevelType w:val="hybridMultilevel"/>
    <w:tmpl w:val="DD12A43A"/>
    <w:lvl w:ilvl="0" w:tplc="D6A4CB5A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plc="C90A3D7C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3F7850FA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17E63B66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1CAFB82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38740C82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23FA737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10D8926C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C15EC18A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4">
    <w:nsid w:val="54C70ADB"/>
    <w:multiLevelType w:val="hybridMultilevel"/>
    <w:tmpl w:val="3BA82E66"/>
    <w:lvl w:ilvl="0" w:tplc="567E715A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plc="235A80A4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78E8CB28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58D0BBC2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A4304DCE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62585EB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F230E0A4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81868DDE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24EE06AC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5">
    <w:nsid w:val="551A07ED"/>
    <w:multiLevelType w:val="hybridMultilevel"/>
    <w:tmpl w:val="A00C719C"/>
    <w:lvl w:ilvl="0" w:tplc="D9FC4838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plc="14A684A8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plc="B63A71CC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plc="03923DF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plc="FF26FC3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plc="52CA6EC8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plc="65E8D48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plc="C7907A28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plc="E668B9AC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6682E9A"/>
    <w:multiLevelType w:val="hybridMultilevel"/>
    <w:tmpl w:val="E6586556"/>
    <w:lvl w:ilvl="0" w:tplc="1186AA3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plc="715066A2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C6AC2B4A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442253E6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A48346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9604B6EA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D9646558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3698BEEE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66BA4B6A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7">
    <w:nsid w:val="5CE9159C"/>
    <w:multiLevelType w:val="hybridMultilevel"/>
    <w:tmpl w:val="57A0F230"/>
    <w:lvl w:ilvl="0" w:tplc="D5360DA0">
      <w:start w:val="1"/>
      <w:numFmt w:val="decimal"/>
      <w:lvlText w:val="%1."/>
      <w:lvlJc w:val="left"/>
      <w:pPr>
        <w:ind w:left="709" w:hanging="360"/>
      </w:pPr>
    </w:lvl>
    <w:lvl w:ilvl="1" w:tplc="26D642C8">
      <w:start w:val="1"/>
      <w:numFmt w:val="lowerLetter"/>
      <w:lvlText w:val="%2."/>
      <w:lvlJc w:val="left"/>
      <w:pPr>
        <w:ind w:left="1429" w:hanging="360"/>
      </w:pPr>
    </w:lvl>
    <w:lvl w:ilvl="2" w:tplc="646E46EA">
      <w:start w:val="1"/>
      <w:numFmt w:val="lowerRoman"/>
      <w:lvlText w:val="%3."/>
      <w:lvlJc w:val="right"/>
      <w:pPr>
        <w:ind w:left="2149" w:hanging="180"/>
      </w:pPr>
    </w:lvl>
    <w:lvl w:ilvl="3" w:tplc="0B8C510C">
      <w:start w:val="1"/>
      <w:numFmt w:val="decimal"/>
      <w:lvlText w:val="%4."/>
      <w:lvlJc w:val="left"/>
      <w:pPr>
        <w:ind w:left="2869" w:hanging="360"/>
      </w:pPr>
    </w:lvl>
    <w:lvl w:ilvl="4" w:tplc="88E09EC8">
      <w:start w:val="1"/>
      <w:numFmt w:val="lowerLetter"/>
      <w:lvlText w:val="%5."/>
      <w:lvlJc w:val="left"/>
      <w:pPr>
        <w:ind w:left="3589" w:hanging="360"/>
      </w:pPr>
    </w:lvl>
    <w:lvl w:ilvl="5" w:tplc="E6EECF24">
      <w:start w:val="1"/>
      <w:numFmt w:val="lowerRoman"/>
      <w:lvlText w:val="%6."/>
      <w:lvlJc w:val="right"/>
      <w:pPr>
        <w:ind w:left="4309" w:hanging="180"/>
      </w:pPr>
    </w:lvl>
    <w:lvl w:ilvl="6" w:tplc="57FE41F2">
      <w:start w:val="1"/>
      <w:numFmt w:val="decimal"/>
      <w:lvlText w:val="%7."/>
      <w:lvlJc w:val="left"/>
      <w:pPr>
        <w:ind w:left="5029" w:hanging="360"/>
      </w:pPr>
    </w:lvl>
    <w:lvl w:ilvl="7" w:tplc="5AC22F30">
      <w:start w:val="1"/>
      <w:numFmt w:val="lowerLetter"/>
      <w:lvlText w:val="%8."/>
      <w:lvlJc w:val="left"/>
      <w:pPr>
        <w:ind w:left="5749" w:hanging="360"/>
      </w:pPr>
    </w:lvl>
    <w:lvl w:ilvl="8" w:tplc="CCEC1232">
      <w:start w:val="1"/>
      <w:numFmt w:val="lowerRoman"/>
      <w:lvlText w:val="%9."/>
      <w:lvlJc w:val="right"/>
      <w:pPr>
        <w:ind w:left="6469" w:hanging="180"/>
      </w:pPr>
    </w:lvl>
  </w:abstractNum>
  <w:abstractNum w:abstractNumId="38">
    <w:nsid w:val="5E3C7D65"/>
    <w:multiLevelType w:val="hybridMultilevel"/>
    <w:tmpl w:val="9AD6A23A"/>
    <w:lvl w:ilvl="0" w:tplc="2F48556A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plc="5EFEC10C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plc="99943496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plc="E9DE7AC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plc="E39455BA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plc="154444F6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plc="268C4C42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plc="16D09E1C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plc="3C4A3652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4751F78"/>
    <w:multiLevelType w:val="hybridMultilevel"/>
    <w:tmpl w:val="FDBA8C10"/>
    <w:lvl w:ilvl="0" w:tplc="E3385EFA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plc="386ACAF4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plc="A942ED4E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plc="867849BC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plc="3DAC8486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plc="ACEEB02C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plc="FB60453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plc="C4520AB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plc="7202566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6471044"/>
    <w:multiLevelType w:val="hybridMultilevel"/>
    <w:tmpl w:val="5380B618"/>
    <w:lvl w:ilvl="0" w:tplc="4FD6304E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 w:tplc="918C2E4C">
      <w:start w:val="1"/>
      <w:numFmt w:val="bullet"/>
      <w:lvlText w:val="o"/>
      <w:lvlJc w:val="left"/>
      <w:pPr>
        <w:ind w:left="1980" w:hanging="360"/>
      </w:pPr>
      <w:rPr>
        <w:rFonts w:ascii="Courier New" w:hAnsi="Courier New"/>
      </w:rPr>
    </w:lvl>
    <w:lvl w:ilvl="2" w:tplc="66BA7E98">
      <w:start w:val="1"/>
      <w:numFmt w:val="bullet"/>
      <w:lvlText w:val=""/>
      <w:lvlJc w:val="left"/>
      <w:pPr>
        <w:ind w:left="2700" w:hanging="360"/>
      </w:pPr>
      <w:rPr>
        <w:rFonts w:ascii="Wingdings" w:hAnsi="Wingdings"/>
      </w:rPr>
    </w:lvl>
    <w:lvl w:ilvl="3" w:tplc="092885C8">
      <w:start w:val="1"/>
      <w:numFmt w:val="bullet"/>
      <w:lvlText w:val=""/>
      <w:lvlJc w:val="left"/>
      <w:pPr>
        <w:ind w:left="3420" w:hanging="360"/>
      </w:pPr>
      <w:rPr>
        <w:rFonts w:ascii="Symbol" w:hAnsi="Symbol"/>
      </w:rPr>
    </w:lvl>
    <w:lvl w:ilvl="4" w:tplc="A95EEB18">
      <w:start w:val="1"/>
      <w:numFmt w:val="bullet"/>
      <w:lvlText w:val="o"/>
      <w:lvlJc w:val="left"/>
      <w:pPr>
        <w:ind w:left="4140" w:hanging="360"/>
      </w:pPr>
      <w:rPr>
        <w:rFonts w:ascii="Courier New" w:hAnsi="Courier New"/>
      </w:rPr>
    </w:lvl>
    <w:lvl w:ilvl="5" w:tplc="907091EA">
      <w:start w:val="1"/>
      <w:numFmt w:val="bullet"/>
      <w:lvlText w:val=""/>
      <w:lvlJc w:val="left"/>
      <w:pPr>
        <w:ind w:left="4860" w:hanging="360"/>
      </w:pPr>
      <w:rPr>
        <w:rFonts w:ascii="Wingdings" w:hAnsi="Wingdings"/>
      </w:rPr>
    </w:lvl>
    <w:lvl w:ilvl="6" w:tplc="53266CBC">
      <w:start w:val="1"/>
      <w:numFmt w:val="bullet"/>
      <w:lvlText w:val=""/>
      <w:lvlJc w:val="left"/>
      <w:pPr>
        <w:ind w:left="5580" w:hanging="360"/>
      </w:pPr>
      <w:rPr>
        <w:rFonts w:ascii="Symbol" w:hAnsi="Symbol"/>
      </w:rPr>
    </w:lvl>
    <w:lvl w:ilvl="7" w:tplc="E2FC6946">
      <w:start w:val="1"/>
      <w:numFmt w:val="bullet"/>
      <w:lvlText w:val="o"/>
      <w:lvlJc w:val="left"/>
      <w:pPr>
        <w:ind w:left="6300" w:hanging="360"/>
      </w:pPr>
      <w:rPr>
        <w:rFonts w:ascii="Courier New" w:hAnsi="Courier New"/>
      </w:rPr>
    </w:lvl>
    <w:lvl w:ilvl="8" w:tplc="28FCC646">
      <w:start w:val="1"/>
      <w:numFmt w:val="bullet"/>
      <w:lvlText w:val=""/>
      <w:lvlJc w:val="left"/>
      <w:pPr>
        <w:ind w:left="7020" w:hanging="360"/>
      </w:pPr>
      <w:rPr>
        <w:rFonts w:ascii="Wingdings" w:hAnsi="Wingdings"/>
      </w:rPr>
    </w:lvl>
  </w:abstractNum>
  <w:abstractNum w:abstractNumId="41">
    <w:nsid w:val="6B2F48E2"/>
    <w:multiLevelType w:val="hybridMultilevel"/>
    <w:tmpl w:val="89E473AA"/>
    <w:lvl w:ilvl="0" w:tplc="A2820644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plc="B8342046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A2202E74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A3B27026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0121D86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285E1CF4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307421A2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9698D79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5914A946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2">
    <w:nsid w:val="7909203B"/>
    <w:multiLevelType w:val="hybridMultilevel"/>
    <w:tmpl w:val="7C7873A6"/>
    <w:lvl w:ilvl="0" w:tplc="17102DEE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plc="75629B1A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DCB0EEF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F9526094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92E6EE9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C38447A2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636E0C98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79CACCB2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6C3C948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3">
    <w:nsid w:val="7C7B584F"/>
    <w:multiLevelType w:val="hybridMultilevel"/>
    <w:tmpl w:val="1E921318"/>
    <w:lvl w:ilvl="0" w:tplc="04D6DB9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plc="A0F673B4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plc="4A502F8A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plc="05DE8AEA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plc="DE4CB6F6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plc="7B8644F6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plc="FE162878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plc="CDC21A7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plc="8492709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6"/>
  </w:num>
  <w:num w:numId="2">
    <w:abstractNumId w:val="20"/>
  </w:num>
  <w:num w:numId="3">
    <w:abstractNumId w:val="28"/>
  </w:num>
  <w:num w:numId="4">
    <w:abstractNumId w:val="5"/>
  </w:num>
  <w:num w:numId="5">
    <w:abstractNumId w:val="8"/>
  </w:num>
  <w:num w:numId="6">
    <w:abstractNumId w:val="16"/>
  </w:num>
  <w:num w:numId="7">
    <w:abstractNumId w:val="38"/>
  </w:num>
  <w:num w:numId="8">
    <w:abstractNumId w:val="39"/>
  </w:num>
  <w:num w:numId="9">
    <w:abstractNumId w:val="31"/>
  </w:num>
  <w:num w:numId="10">
    <w:abstractNumId w:val="7"/>
  </w:num>
  <w:num w:numId="11">
    <w:abstractNumId w:val="2"/>
  </w:num>
  <w:num w:numId="12">
    <w:abstractNumId w:val="43"/>
  </w:num>
  <w:num w:numId="13">
    <w:abstractNumId w:val="32"/>
  </w:num>
  <w:num w:numId="14">
    <w:abstractNumId w:val="24"/>
  </w:num>
  <w:num w:numId="15">
    <w:abstractNumId w:val="27"/>
  </w:num>
  <w:num w:numId="16">
    <w:abstractNumId w:val="35"/>
  </w:num>
  <w:num w:numId="17">
    <w:abstractNumId w:val="19"/>
  </w:num>
  <w:num w:numId="18">
    <w:abstractNumId w:val="9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6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1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30"/>
  </w:num>
  <w:num w:numId="32">
    <w:abstractNumId w:val="15"/>
  </w:num>
  <w:num w:numId="33">
    <w:abstractNumId w:val="0"/>
  </w:num>
  <w:num w:numId="34">
    <w:abstractNumId w:val="29"/>
  </w:num>
  <w:num w:numId="35">
    <w:abstractNumId w:val="18"/>
  </w:num>
  <w:num w:numId="36">
    <w:abstractNumId w:val="40"/>
  </w:num>
  <w:num w:numId="37">
    <w:abstractNumId w:val="1"/>
  </w:num>
  <w:num w:numId="38">
    <w:abstractNumId w:val="23"/>
  </w:num>
  <w:num w:numId="39">
    <w:abstractNumId w:val="3"/>
  </w:num>
  <w:num w:numId="40">
    <w:abstractNumId w:val="4"/>
  </w:num>
  <w:num w:numId="41">
    <w:abstractNumId w:val="12"/>
  </w:num>
  <w:num w:numId="42">
    <w:abstractNumId w:val="21"/>
  </w:num>
  <w:num w:numId="43">
    <w:abstractNumId w:val="37"/>
  </w:num>
  <w:num w:numId="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4F7"/>
    <w:rsid w:val="001E26CD"/>
    <w:rsid w:val="006053DA"/>
    <w:rsid w:val="00A60595"/>
    <w:rsid w:val="00E24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Cs w:val="22"/>
        <w:lang w:val="ru-RU" w:eastAsia="ru-RU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ind w:firstLine="720"/>
      <w:jc w:val="both"/>
    </w:pPr>
    <w:rPr>
      <w:rFonts w:ascii="Times New Roman CYR" w:hAnsi="Times New Roman CYR"/>
      <w:sz w:val="24"/>
      <w:szCs w:val="24"/>
    </w:rPr>
  </w:style>
  <w:style w:type="paragraph" w:styleId="1">
    <w:name w:val="heading 1"/>
    <w:link w:val="10"/>
    <w:pPr>
      <w:widowControl w:val="0"/>
      <w:spacing w:before="108" w:after="108"/>
      <w:jc w:val="center"/>
      <w:outlineLvl w:val="0"/>
    </w:pPr>
    <w:rPr>
      <w:rFonts w:ascii="Calibri Light" w:hAnsi="Calibri Light"/>
      <w:b/>
      <w:bCs/>
      <w:sz w:val="32"/>
      <w:szCs w:val="32"/>
      <w:lang w:val="en-US" w:eastAsia="en-US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Нижний колонтитул Знак"/>
    <w:basedOn w:val="a0"/>
    <w:link w:val="ab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link w:val="2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a1"/>
    <w:link w:val="ListLabel4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1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0">
    <w:name w:val="TOC Heading"/>
    <w:uiPriority w:val="39"/>
    <w:unhideWhenUsed/>
  </w:style>
  <w:style w:type="paragraph" w:customStyle="1" w:styleId="af1">
    <w:name w:val="???????"/>
    <w:uiPriority w:val="99"/>
    <w:rPr>
      <w:rFonts w:ascii="Times New Roman" w:hAnsi="Times New Roman"/>
    </w:rPr>
  </w:style>
  <w:style w:type="paragraph" w:customStyle="1" w:styleId="af2">
    <w:name w:val="????????"/>
    <w:basedOn w:val="af1"/>
    <w:uiPriority w:val="99"/>
    <w:pPr>
      <w:jc w:val="center"/>
    </w:pPr>
    <w:rPr>
      <w:sz w:val="36"/>
    </w:rPr>
  </w:style>
  <w:style w:type="paragraph" w:customStyle="1" w:styleId="western">
    <w:name w:val="western"/>
    <w:basedOn w:val="a"/>
    <w:uiPriority w:val="99"/>
    <w:pPr>
      <w:spacing w:before="100" w:beforeAutospacing="1" w:after="100" w:afterAutospacing="1"/>
    </w:pPr>
    <w:rPr>
      <w:rFonts w:ascii="Times New Roman" w:hAnsi="Times New Roman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character" w:customStyle="1" w:styleId="FontStyle14">
    <w:name w:val="Font Style14"/>
    <w:rPr>
      <w:rFonts w:ascii="Times New Roman" w:hAnsi="Times New Roman" w:cs="Times New Roman"/>
      <w:sz w:val="32"/>
      <w:szCs w:val="32"/>
    </w:rPr>
  </w:style>
  <w:style w:type="paragraph" w:styleId="af4">
    <w:name w:val="Normal (Web)"/>
    <w:basedOn w:val="a"/>
    <w:uiPriority w:val="99"/>
    <w:unhideWhenUsed/>
    <w:pPr>
      <w:spacing w:before="40" w:after="40"/>
    </w:pPr>
    <w:rPr>
      <w:rFonts w:ascii="Arial" w:eastAsia="Arial Unicode MS" w:hAnsi="Arial" w:cs="Arial"/>
      <w:color w:val="332E2D"/>
      <w:spacing w:val="2"/>
    </w:rPr>
  </w:style>
  <w:style w:type="character" w:customStyle="1" w:styleId="10">
    <w:name w:val="Заголовок 1 Знак"/>
    <w:link w:val="1"/>
    <w:uiPriority w:val="9"/>
    <w:rPr>
      <w:rFonts w:ascii="Arial" w:eastAsia="Times New Roman" w:hAnsi="Arial" w:cs="Arial"/>
      <w:sz w:val="28"/>
      <w:szCs w:val="24"/>
    </w:rPr>
  </w:style>
  <w:style w:type="character" w:customStyle="1" w:styleId="20">
    <w:name w:val="Заголовок 2 Знак"/>
    <w:link w:val="2"/>
    <w:uiPriority w:val="9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f5">
    <w:name w:val="No Spacing"/>
    <w:uiPriority w:val="1"/>
    <w:qFormat/>
    <w:pPr>
      <w:widowControl w:val="0"/>
    </w:pPr>
    <w:rPr>
      <w:rFonts w:ascii="Times New Roman" w:hAnsi="Times New Roman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4"/>
      <w:szCs w:val="24"/>
    </w:rPr>
  </w:style>
  <w:style w:type="paragraph" w:customStyle="1" w:styleId="Heading">
    <w:name w:val="Heading"/>
    <w:pPr>
      <w:widowControl w:val="0"/>
    </w:pPr>
    <w:rPr>
      <w:rFonts w:ascii="Arial" w:hAnsi="Arial" w:cs="Arial"/>
      <w:b/>
      <w:bCs/>
      <w:sz w:val="22"/>
    </w:rPr>
  </w:style>
  <w:style w:type="paragraph" w:customStyle="1" w:styleId="af6">
    <w:name w:val="Знак Знак Знак Знак Знак Знак Знак"/>
    <w:basedOn w:val="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7">
    <w:name w:val="Body Text Indent"/>
    <w:basedOn w:val="a"/>
    <w:link w:val="af8"/>
    <w:uiPriority w:val="99"/>
    <w:pPr>
      <w:ind w:left="7200"/>
    </w:pPr>
    <w:rPr>
      <w:rFonts w:ascii="Arial" w:hAnsi="Arial"/>
      <w:sz w:val="28"/>
    </w:rPr>
  </w:style>
  <w:style w:type="character" w:customStyle="1" w:styleId="af8">
    <w:name w:val="Основной текст с отступом Знак"/>
    <w:link w:val="af7"/>
    <w:uiPriority w:val="99"/>
    <w:rPr>
      <w:rFonts w:ascii="Arial" w:eastAsia="Times New Roman" w:hAnsi="Arial" w:cs="Arial"/>
      <w:sz w:val="28"/>
      <w:szCs w:val="24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sz w:val="16"/>
      <w:szCs w:val="16"/>
    </w:rPr>
  </w:style>
  <w:style w:type="paragraph" w:customStyle="1" w:styleId="ConsPlusCell">
    <w:name w:val="ConsPlusCell"/>
    <w:pPr>
      <w:widowControl w:val="0"/>
    </w:pPr>
    <w:rPr>
      <w:rFonts w:ascii="Arial" w:hAnsi="Arial" w:cs="Arial"/>
    </w:rPr>
  </w:style>
  <w:style w:type="paragraph" w:customStyle="1" w:styleId="msonormalcxspmiddle">
    <w:name w:val="msonormalcxspmiddle"/>
    <w:basedOn w:val="a"/>
    <w:pPr>
      <w:spacing w:before="100" w:beforeAutospacing="1" w:after="100" w:afterAutospacing="1"/>
    </w:pPr>
    <w:rPr>
      <w:rFonts w:ascii="Times New Roman" w:hAnsi="Times New Roman"/>
    </w:rPr>
  </w:style>
  <w:style w:type="paragraph" w:styleId="32">
    <w:name w:val="Body Text 3"/>
    <w:basedOn w:val="a"/>
    <w:link w:val="33"/>
    <w:uiPriority w:val="99"/>
    <w:pPr>
      <w:spacing w:after="120"/>
    </w:pPr>
    <w:rPr>
      <w:rFonts w:ascii="Times New Roman" w:hAnsi="Times New Roman"/>
      <w:sz w:val="16"/>
      <w:szCs w:val="16"/>
      <w:lang w:eastAsia="en-US"/>
    </w:rPr>
  </w:style>
  <w:style w:type="character" w:customStyle="1" w:styleId="33">
    <w:name w:val="Основной текст 3 Знак"/>
    <w:link w:val="32"/>
    <w:uiPriority w:val="99"/>
    <w:rPr>
      <w:rFonts w:ascii="Times New Roman" w:eastAsia="Times New Roman" w:hAnsi="Times New Roman"/>
      <w:sz w:val="16"/>
      <w:szCs w:val="16"/>
      <w:lang w:eastAsia="en-US"/>
    </w:rPr>
  </w:style>
  <w:style w:type="paragraph" w:styleId="25">
    <w:name w:val="Body Text Indent 2"/>
    <w:basedOn w:val="a"/>
    <w:link w:val="26"/>
    <w:uiPriority w:val="99"/>
    <w:pPr>
      <w:spacing w:after="120" w:line="480" w:lineRule="auto"/>
      <w:ind w:left="360"/>
    </w:pPr>
    <w:rPr>
      <w:rFonts w:ascii="Times New Roman" w:hAnsi="Times New Roman"/>
      <w:sz w:val="16"/>
      <w:lang w:eastAsia="en-US"/>
    </w:rPr>
  </w:style>
  <w:style w:type="character" w:customStyle="1" w:styleId="26">
    <w:name w:val="Основной текст с отступом 2 Знак"/>
    <w:link w:val="25"/>
    <w:uiPriority w:val="99"/>
    <w:rPr>
      <w:rFonts w:ascii="Times New Roman" w:eastAsia="Times New Roman" w:hAnsi="Times New Roman"/>
      <w:sz w:val="16"/>
      <w:szCs w:val="24"/>
      <w:lang w:eastAsia="en-US"/>
    </w:rPr>
  </w:style>
  <w:style w:type="paragraph" w:styleId="af9">
    <w:name w:val="Body Text"/>
    <w:basedOn w:val="a"/>
    <w:link w:val="afa"/>
    <w:uiPriority w:val="99"/>
    <w:pPr>
      <w:spacing w:after="120"/>
    </w:pPr>
    <w:rPr>
      <w:rFonts w:ascii="Times New Roman" w:hAnsi="Times New Roman"/>
      <w:sz w:val="16"/>
      <w:lang w:eastAsia="en-US"/>
    </w:rPr>
  </w:style>
  <w:style w:type="character" w:customStyle="1" w:styleId="afa">
    <w:name w:val="Основной текст Знак"/>
    <w:link w:val="af9"/>
    <w:uiPriority w:val="99"/>
    <w:rPr>
      <w:rFonts w:ascii="Times New Roman" w:eastAsia="Times New Roman" w:hAnsi="Times New Roman"/>
      <w:sz w:val="16"/>
      <w:szCs w:val="24"/>
      <w:lang w:eastAsia="en-US"/>
    </w:rPr>
  </w:style>
  <w:style w:type="paragraph" w:customStyle="1" w:styleId="Web">
    <w:name w:val="Обычный (Web)"/>
    <w:basedOn w:val="a"/>
    <w:pPr>
      <w:spacing w:before="34" w:after="34"/>
    </w:pPr>
    <w:rPr>
      <w:rFonts w:ascii="Arial" w:hAnsi="Arial"/>
      <w:color w:val="000000"/>
      <w:spacing w:val="2"/>
      <w:szCs w:val="20"/>
    </w:rPr>
  </w:style>
  <w:style w:type="character" w:customStyle="1" w:styleId="submenu-table">
    <w:name w:val="submenu-table"/>
    <w:basedOn w:val="a0"/>
  </w:style>
  <w:style w:type="character" w:customStyle="1" w:styleId="fill">
    <w:name w:val="fill"/>
    <w:rPr>
      <w:b/>
      <w:bCs/>
      <w:i/>
      <w:iCs/>
      <w:color w:val="FF0000"/>
    </w:rPr>
  </w:style>
  <w:style w:type="table" w:styleId="afb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c">
    <w:name w:val="Hyperlink"/>
    <w:basedOn w:val="a0"/>
    <w:uiPriority w:val="99"/>
    <w:unhideWhenUsed/>
    <w:rPr>
      <w:color w:val="0000FF"/>
      <w:u w:val="single"/>
    </w:rPr>
  </w:style>
  <w:style w:type="character" w:customStyle="1" w:styleId="HTML">
    <w:name w:val="Стандартный HTML Знак"/>
    <w:basedOn w:val="a0"/>
    <w:link w:val="HTML0"/>
    <w:semiHidden/>
    <w:rPr>
      <w:sz w:val="22"/>
      <w:szCs w:val="22"/>
    </w:rPr>
  </w:style>
  <w:style w:type="paragraph" w:styleId="HTML0">
    <w:name w:val="HTML Preformatted"/>
    <w:basedOn w:val="a"/>
    <w:link w:val="HTM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character" w:customStyle="1" w:styleId="HTML1">
    <w:name w:val="Стандартный HTML Знак1"/>
    <w:basedOn w:val="a0"/>
    <w:uiPriority w:val="99"/>
    <w:semiHidden/>
    <w:rPr>
      <w:rFonts w:ascii="Consolas" w:hAnsi="Consolas" w:cs="Consolas"/>
    </w:rPr>
  </w:style>
  <w:style w:type="character" w:customStyle="1" w:styleId="afd">
    <w:name w:val="Гипертекстовая ссылка"/>
    <w:rPr>
      <w:color w:val="106BBE"/>
    </w:rPr>
  </w:style>
  <w:style w:type="character" w:customStyle="1" w:styleId="afe">
    <w:name w:val="Цветовое выделение"/>
    <w:rPr>
      <w:b/>
      <w:bCs/>
      <w:color w:val="26282F"/>
    </w:rPr>
  </w:style>
  <w:style w:type="paragraph" w:customStyle="1" w:styleId="aff">
    <w:name w:val="Сноска"/>
    <w:pPr>
      <w:widowControl w:val="0"/>
      <w:ind w:firstLine="720"/>
      <w:jc w:val="both"/>
    </w:pPr>
    <w:rPr>
      <w:rFonts w:ascii="Times New Roman CYR" w:hAnsi="Times New Roman CYR"/>
      <w:szCs w:val="20"/>
    </w:rPr>
  </w:style>
  <w:style w:type="paragraph" w:customStyle="1" w:styleId="aff0">
    <w:name w:val="Нормальный (таблица)"/>
    <w:pPr>
      <w:widowControl w:val="0"/>
      <w:jc w:val="both"/>
    </w:pPr>
    <w:rPr>
      <w:rFonts w:ascii="Times New Roman CYR" w:hAnsi="Times New Roman CYR"/>
      <w:sz w:val="24"/>
      <w:szCs w:val="24"/>
    </w:rPr>
  </w:style>
  <w:style w:type="paragraph" w:customStyle="1" w:styleId="aff1">
    <w:name w:val="Прижатый влево"/>
    <w:pPr>
      <w:widowControl w:val="0"/>
    </w:pPr>
    <w:rPr>
      <w:rFonts w:ascii="Times New Roman CYR" w:hAnsi="Times New Roman CYR"/>
      <w:sz w:val="24"/>
      <w:szCs w:val="24"/>
    </w:rPr>
  </w:style>
  <w:style w:type="paragraph" w:customStyle="1" w:styleId="23">
    <w:name w:val="Стиль2"/>
    <w:link w:val="GridTable2"/>
    <w:pPr>
      <w:spacing w:line="276" w:lineRule="auto"/>
      <w:ind w:firstLine="540"/>
      <w:jc w:val="both"/>
    </w:pPr>
    <w:rPr>
      <w:rFonts w:ascii="Cambria" w:hAnsi="Cambria"/>
      <w:sz w:val="24"/>
      <w:szCs w:val="24"/>
    </w:rPr>
  </w:style>
  <w:style w:type="character" w:customStyle="1" w:styleId="ListLabel4">
    <w:name w:val="ListLabel 4"/>
    <w:link w:val="ListTable6Colorful"/>
    <w:rPr>
      <w:color w:val="0000FF"/>
    </w:rPr>
  </w:style>
  <w:style w:type="paragraph" w:customStyle="1" w:styleId="12">
    <w:name w:val="Стиль1"/>
    <w:qFormat/>
    <w:pPr>
      <w:widowControl w:val="0"/>
      <w:ind w:firstLine="708"/>
      <w:jc w:val="both"/>
    </w:pPr>
    <w:rPr>
      <w:rFonts w:ascii="Times New Roman" w:eastAsia="Calibri" w:hAnsi="Times New Roman"/>
      <w:sz w:val="24"/>
      <w:szCs w:val="24"/>
      <w:lang w:eastAsia="en-US"/>
    </w:rPr>
  </w:style>
  <w:style w:type="paragraph" w:styleId="aff2">
    <w:name w:val="Balloon Text"/>
    <w:basedOn w:val="a"/>
    <w:link w:val="aff3"/>
    <w:uiPriority w:val="99"/>
    <w:semiHidden/>
    <w:unhideWhenUsed/>
    <w:rsid w:val="006053DA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0"/>
    <w:link w:val="aff2"/>
    <w:uiPriority w:val="99"/>
    <w:semiHidden/>
    <w:rsid w:val="006053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Cs w:val="22"/>
        <w:lang w:val="ru-RU" w:eastAsia="ru-RU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ind w:firstLine="720"/>
      <w:jc w:val="both"/>
    </w:pPr>
    <w:rPr>
      <w:rFonts w:ascii="Times New Roman CYR" w:hAnsi="Times New Roman CYR"/>
      <w:sz w:val="24"/>
      <w:szCs w:val="24"/>
    </w:rPr>
  </w:style>
  <w:style w:type="paragraph" w:styleId="1">
    <w:name w:val="heading 1"/>
    <w:link w:val="10"/>
    <w:pPr>
      <w:widowControl w:val="0"/>
      <w:spacing w:before="108" w:after="108"/>
      <w:jc w:val="center"/>
      <w:outlineLvl w:val="0"/>
    </w:pPr>
    <w:rPr>
      <w:rFonts w:ascii="Calibri Light" w:hAnsi="Calibri Light"/>
      <w:b/>
      <w:bCs/>
      <w:sz w:val="32"/>
      <w:szCs w:val="32"/>
      <w:lang w:val="en-US" w:eastAsia="en-US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Нижний колонтитул Знак"/>
    <w:basedOn w:val="a0"/>
    <w:link w:val="ab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link w:val="2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a1"/>
    <w:link w:val="ListLabel4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1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0">
    <w:name w:val="TOC Heading"/>
    <w:uiPriority w:val="39"/>
    <w:unhideWhenUsed/>
  </w:style>
  <w:style w:type="paragraph" w:customStyle="1" w:styleId="af1">
    <w:name w:val="???????"/>
    <w:uiPriority w:val="99"/>
    <w:rPr>
      <w:rFonts w:ascii="Times New Roman" w:hAnsi="Times New Roman"/>
    </w:rPr>
  </w:style>
  <w:style w:type="paragraph" w:customStyle="1" w:styleId="af2">
    <w:name w:val="????????"/>
    <w:basedOn w:val="af1"/>
    <w:uiPriority w:val="99"/>
    <w:pPr>
      <w:jc w:val="center"/>
    </w:pPr>
    <w:rPr>
      <w:sz w:val="36"/>
    </w:rPr>
  </w:style>
  <w:style w:type="paragraph" w:customStyle="1" w:styleId="western">
    <w:name w:val="western"/>
    <w:basedOn w:val="a"/>
    <w:uiPriority w:val="99"/>
    <w:pPr>
      <w:spacing w:before="100" w:beforeAutospacing="1" w:after="100" w:afterAutospacing="1"/>
    </w:pPr>
    <w:rPr>
      <w:rFonts w:ascii="Times New Roman" w:hAnsi="Times New Roman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character" w:customStyle="1" w:styleId="FontStyle14">
    <w:name w:val="Font Style14"/>
    <w:rPr>
      <w:rFonts w:ascii="Times New Roman" w:hAnsi="Times New Roman" w:cs="Times New Roman"/>
      <w:sz w:val="32"/>
      <w:szCs w:val="32"/>
    </w:rPr>
  </w:style>
  <w:style w:type="paragraph" w:styleId="af4">
    <w:name w:val="Normal (Web)"/>
    <w:basedOn w:val="a"/>
    <w:uiPriority w:val="99"/>
    <w:unhideWhenUsed/>
    <w:pPr>
      <w:spacing w:before="40" w:after="40"/>
    </w:pPr>
    <w:rPr>
      <w:rFonts w:ascii="Arial" w:eastAsia="Arial Unicode MS" w:hAnsi="Arial" w:cs="Arial"/>
      <w:color w:val="332E2D"/>
      <w:spacing w:val="2"/>
    </w:rPr>
  </w:style>
  <w:style w:type="character" w:customStyle="1" w:styleId="10">
    <w:name w:val="Заголовок 1 Знак"/>
    <w:link w:val="1"/>
    <w:uiPriority w:val="9"/>
    <w:rPr>
      <w:rFonts w:ascii="Arial" w:eastAsia="Times New Roman" w:hAnsi="Arial" w:cs="Arial"/>
      <w:sz w:val="28"/>
      <w:szCs w:val="24"/>
    </w:rPr>
  </w:style>
  <w:style w:type="character" w:customStyle="1" w:styleId="20">
    <w:name w:val="Заголовок 2 Знак"/>
    <w:link w:val="2"/>
    <w:uiPriority w:val="9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f5">
    <w:name w:val="No Spacing"/>
    <w:uiPriority w:val="1"/>
    <w:qFormat/>
    <w:pPr>
      <w:widowControl w:val="0"/>
    </w:pPr>
    <w:rPr>
      <w:rFonts w:ascii="Times New Roman" w:hAnsi="Times New Roman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4"/>
      <w:szCs w:val="24"/>
    </w:rPr>
  </w:style>
  <w:style w:type="paragraph" w:customStyle="1" w:styleId="Heading">
    <w:name w:val="Heading"/>
    <w:pPr>
      <w:widowControl w:val="0"/>
    </w:pPr>
    <w:rPr>
      <w:rFonts w:ascii="Arial" w:hAnsi="Arial" w:cs="Arial"/>
      <w:b/>
      <w:bCs/>
      <w:sz w:val="22"/>
    </w:rPr>
  </w:style>
  <w:style w:type="paragraph" w:customStyle="1" w:styleId="af6">
    <w:name w:val="Знак Знак Знак Знак Знак Знак Знак"/>
    <w:basedOn w:val="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7">
    <w:name w:val="Body Text Indent"/>
    <w:basedOn w:val="a"/>
    <w:link w:val="af8"/>
    <w:uiPriority w:val="99"/>
    <w:pPr>
      <w:ind w:left="7200"/>
    </w:pPr>
    <w:rPr>
      <w:rFonts w:ascii="Arial" w:hAnsi="Arial"/>
      <w:sz w:val="28"/>
    </w:rPr>
  </w:style>
  <w:style w:type="character" w:customStyle="1" w:styleId="af8">
    <w:name w:val="Основной текст с отступом Знак"/>
    <w:link w:val="af7"/>
    <w:uiPriority w:val="99"/>
    <w:rPr>
      <w:rFonts w:ascii="Arial" w:eastAsia="Times New Roman" w:hAnsi="Arial" w:cs="Arial"/>
      <w:sz w:val="28"/>
      <w:szCs w:val="24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sz w:val="16"/>
      <w:szCs w:val="16"/>
    </w:rPr>
  </w:style>
  <w:style w:type="paragraph" w:customStyle="1" w:styleId="ConsPlusCell">
    <w:name w:val="ConsPlusCell"/>
    <w:pPr>
      <w:widowControl w:val="0"/>
    </w:pPr>
    <w:rPr>
      <w:rFonts w:ascii="Arial" w:hAnsi="Arial" w:cs="Arial"/>
    </w:rPr>
  </w:style>
  <w:style w:type="paragraph" w:customStyle="1" w:styleId="msonormalcxspmiddle">
    <w:name w:val="msonormalcxspmiddle"/>
    <w:basedOn w:val="a"/>
    <w:pPr>
      <w:spacing w:before="100" w:beforeAutospacing="1" w:after="100" w:afterAutospacing="1"/>
    </w:pPr>
    <w:rPr>
      <w:rFonts w:ascii="Times New Roman" w:hAnsi="Times New Roman"/>
    </w:rPr>
  </w:style>
  <w:style w:type="paragraph" w:styleId="32">
    <w:name w:val="Body Text 3"/>
    <w:basedOn w:val="a"/>
    <w:link w:val="33"/>
    <w:uiPriority w:val="99"/>
    <w:pPr>
      <w:spacing w:after="120"/>
    </w:pPr>
    <w:rPr>
      <w:rFonts w:ascii="Times New Roman" w:hAnsi="Times New Roman"/>
      <w:sz w:val="16"/>
      <w:szCs w:val="16"/>
      <w:lang w:eastAsia="en-US"/>
    </w:rPr>
  </w:style>
  <w:style w:type="character" w:customStyle="1" w:styleId="33">
    <w:name w:val="Основной текст 3 Знак"/>
    <w:link w:val="32"/>
    <w:uiPriority w:val="99"/>
    <w:rPr>
      <w:rFonts w:ascii="Times New Roman" w:eastAsia="Times New Roman" w:hAnsi="Times New Roman"/>
      <w:sz w:val="16"/>
      <w:szCs w:val="16"/>
      <w:lang w:eastAsia="en-US"/>
    </w:rPr>
  </w:style>
  <w:style w:type="paragraph" w:styleId="25">
    <w:name w:val="Body Text Indent 2"/>
    <w:basedOn w:val="a"/>
    <w:link w:val="26"/>
    <w:uiPriority w:val="99"/>
    <w:pPr>
      <w:spacing w:after="120" w:line="480" w:lineRule="auto"/>
      <w:ind w:left="360"/>
    </w:pPr>
    <w:rPr>
      <w:rFonts w:ascii="Times New Roman" w:hAnsi="Times New Roman"/>
      <w:sz w:val="16"/>
      <w:lang w:eastAsia="en-US"/>
    </w:rPr>
  </w:style>
  <w:style w:type="character" w:customStyle="1" w:styleId="26">
    <w:name w:val="Основной текст с отступом 2 Знак"/>
    <w:link w:val="25"/>
    <w:uiPriority w:val="99"/>
    <w:rPr>
      <w:rFonts w:ascii="Times New Roman" w:eastAsia="Times New Roman" w:hAnsi="Times New Roman"/>
      <w:sz w:val="16"/>
      <w:szCs w:val="24"/>
      <w:lang w:eastAsia="en-US"/>
    </w:rPr>
  </w:style>
  <w:style w:type="paragraph" w:styleId="af9">
    <w:name w:val="Body Text"/>
    <w:basedOn w:val="a"/>
    <w:link w:val="afa"/>
    <w:uiPriority w:val="99"/>
    <w:pPr>
      <w:spacing w:after="120"/>
    </w:pPr>
    <w:rPr>
      <w:rFonts w:ascii="Times New Roman" w:hAnsi="Times New Roman"/>
      <w:sz w:val="16"/>
      <w:lang w:eastAsia="en-US"/>
    </w:rPr>
  </w:style>
  <w:style w:type="character" w:customStyle="1" w:styleId="afa">
    <w:name w:val="Основной текст Знак"/>
    <w:link w:val="af9"/>
    <w:uiPriority w:val="99"/>
    <w:rPr>
      <w:rFonts w:ascii="Times New Roman" w:eastAsia="Times New Roman" w:hAnsi="Times New Roman"/>
      <w:sz w:val="16"/>
      <w:szCs w:val="24"/>
      <w:lang w:eastAsia="en-US"/>
    </w:rPr>
  </w:style>
  <w:style w:type="paragraph" w:customStyle="1" w:styleId="Web">
    <w:name w:val="Обычный (Web)"/>
    <w:basedOn w:val="a"/>
    <w:pPr>
      <w:spacing w:before="34" w:after="34"/>
    </w:pPr>
    <w:rPr>
      <w:rFonts w:ascii="Arial" w:hAnsi="Arial"/>
      <w:color w:val="000000"/>
      <w:spacing w:val="2"/>
      <w:szCs w:val="20"/>
    </w:rPr>
  </w:style>
  <w:style w:type="character" w:customStyle="1" w:styleId="submenu-table">
    <w:name w:val="submenu-table"/>
    <w:basedOn w:val="a0"/>
  </w:style>
  <w:style w:type="character" w:customStyle="1" w:styleId="fill">
    <w:name w:val="fill"/>
    <w:rPr>
      <w:b/>
      <w:bCs/>
      <w:i/>
      <w:iCs/>
      <w:color w:val="FF0000"/>
    </w:rPr>
  </w:style>
  <w:style w:type="table" w:styleId="afb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c">
    <w:name w:val="Hyperlink"/>
    <w:basedOn w:val="a0"/>
    <w:uiPriority w:val="99"/>
    <w:unhideWhenUsed/>
    <w:rPr>
      <w:color w:val="0000FF"/>
      <w:u w:val="single"/>
    </w:rPr>
  </w:style>
  <w:style w:type="character" w:customStyle="1" w:styleId="HTML">
    <w:name w:val="Стандартный HTML Знак"/>
    <w:basedOn w:val="a0"/>
    <w:link w:val="HTML0"/>
    <w:semiHidden/>
    <w:rPr>
      <w:sz w:val="22"/>
      <w:szCs w:val="22"/>
    </w:rPr>
  </w:style>
  <w:style w:type="paragraph" w:styleId="HTML0">
    <w:name w:val="HTML Preformatted"/>
    <w:basedOn w:val="a"/>
    <w:link w:val="HTM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character" w:customStyle="1" w:styleId="HTML1">
    <w:name w:val="Стандартный HTML Знак1"/>
    <w:basedOn w:val="a0"/>
    <w:uiPriority w:val="99"/>
    <w:semiHidden/>
    <w:rPr>
      <w:rFonts w:ascii="Consolas" w:hAnsi="Consolas" w:cs="Consolas"/>
    </w:rPr>
  </w:style>
  <w:style w:type="character" w:customStyle="1" w:styleId="afd">
    <w:name w:val="Гипертекстовая ссылка"/>
    <w:rPr>
      <w:color w:val="106BBE"/>
    </w:rPr>
  </w:style>
  <w:style w:type="character" w:customStyle="1" w:styleId="afe">
    <w:name w:val="Цветовое выделение"/>
    <w:rPr>
      <w:b/>
      <w:bCs/>
      <w:color w:val="26282F"/>
    </w:rPr>
  </w:style>
  <w:style w:type="paragraph" w:customStyle="1" w:styleId="aff">
    <w:name w:val="Сноска"/>
    <w:pPr>
      <w:widowControl w:val="0"/>
      <w:ind w:firstLine="720"/>
      <w:jc w:val="both"/>
    </w:pPr>
    <w:rPr>
      <w:rFonts w:ascii="Times New Roman CYR" w:hAnsi="Times New Roman CYR"/>
      <w:szCs w:val="20"/>
    </w:rPr>
  </w:style>
  <w:style w:type="paragraph" w:customStyle="1" w:styleId="aff0">
    <w:name w:val="Нормальный (таблица)"/>
    <w:pPr>
      <w:widowControl w:val="0"/>
      <w:jc w:val="both"/>
    </w:pPr>
    <w:rPr>
      <w:rFonts w:ascii="Times New Roman CYR" w:hAnsi="Times New Roman CYR"/>
      <w:sz w:val="24"/>
      <w:szCs w:val="24"/>
    </w:rPr>
  </w:style>
  <w:style w:type="paragraph" w:customStyle="1" w:styleId="aff1">
    <w:name w:val="Прижатый влево"/>
    <w:pPr>
      <w:widowControl w:val="0"/>
    </w:pPr>
    <w:rPr>
      <w:rFonts w:ascii="Times New Roman CYR" w:hAnsi="Times New Roman CYR"/>
      <w:sz w:val="24"/>
      <w:szCs w:val="24"/>
    </w:rPr>
  </w:style>
  <w:style w:type="paragraph" w:customStyle="1" w:styleId="23">
    <w:name w:val="Стиль2"/>
    <w:link w:val="GridTable2"/>
    <w:pPr>
      <w:spacing w:line="276" w:lineRule="auto"/>
      <w:ind w:firstLine="540"/>
      <w:jc w:val="both"/>
    </w:pPr>
    <w:rPr>
      <w:rFonts w:ascii="Cambria" w:hAnsi="Cambria"/>
      <w:sz w:val="24"/>
      <w:szCs w:val="24"/>
    </w:rPr>
  </w:style>
  <w:style w:type="character" w:customStyle="1" w:styleId="ListLabel4">
    <w:name w:val="ListLabel 4"/>
    <w:link w:val="ListTable6Colorful"/>
    <w:rPr>
      <w:color w:val="0000FF"/>
    </w:rPr>
  </w:style>
  <w:style w:type="paragraph" w:customStyle="1" w:styleId="12">
    <w:name w:val="Стиль1"/>
    <w:qFormat/>
    <w:pPr>
      <w:widowControl w:val="0"/>
      <w:ind w:firstLine="708"/>
      <w:jc w:val="both"/>
    </w:pPr>
    <w:rPr>
      <w:rFonts w:ascii="Times New Roman" w:eastAsia="Calibri" w:hAnsi="Times New Roman"/>
      <w:sz w:val="24"/>
      <w:szCs w:val="24"/>
      <w:lang w:eastAsia="en-US"/>
    </w:rPr>
  </w:style>
  <w:style w:type="paragraph" w:styleId="aff2">
    <w:name w:val="Balloon Text"/>
    <w:basedOn w:val="a"/>
    <w:link w:val="aff3"/>
    <w:uiPriority w:val="99"/>
    <w:semiHidden/>
    <w:unhideWhenUsed/>
    <w:rsid w:val="006053DA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0"/>
    <w:link w:val="aff2"/>
    <w:uiPriority w:val="99"/>
    <w:semiHidden/>
    <w:rsid w:val="006053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0609\AppData\Local\Microsoft\Windows\Temporary%20Internet%20Files\Content.IE5\BLZZLBH0\132)%20%7b&#1050;&#1086;&#1085;&#1089;&#1091;&#1083;&#1100;&#1090;&#1072;&#1085;&#1090;&#1055;&#1083;&#1102;&#1089;%7d" TargetMode="External"/><Relationship Id="rId13" Type="http://schemas.openxmlformats.org/officeDocument/2006/relationships/hyperlink" Target="file:///C:\Users\0609\AppData\Local\Microsoft\Windows\Temporary%20Internet%20Files\Content.IE5\BLZZLBH0\37519)%20%7b&#1050;&#1086;&#1085;&#1089;&#1091;&#1083;&#1100;&#1090;&#1072;&#1085;&#1090;&#1055;&#1083;&#1102;&#1089;%7d" TargetMode="External"/><Relationship Id="rId18" Type="http://schemas.openxmlformats.org/officeDocument/2006/relationships/hyperlink" Target="file:///C:\Users\0609\AppData\Local\Microsoft\Windows\Temporary%20Internet%20Files\Content.IE5\BLZZLBH0\37519)%20%7b&#1050;&#1086;&#1085;&#1089;&#1091;&#1083;&#1100;&#1090;&#1072;&#1085;&#1090;&#1055;&#1083;&#1102;&#1089;%7d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file:///C:\Users\0609\AppData\Local\Microsoft\Windows\Temporary%20Internet%20Files\Content.IE5\BLZZLBH0\37519)%20%7b&#1050;&#1086;&#1085;&#1089;&#1091;&#1083;&#1100;&#1090;&#1072;&#1085;&#1090;&#1055;&#1083;&#1102;&#1089;%7d" TargetMode="External"/><Relationship Id="rId17" Type="http://schemas.openxmlformats.org/officeDocument/2006/relationships/hyperlink" Target="file:///C:\Users\Admin\Downloads\_blank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0609\AppData\Local\Microsoft\Windows\Temporary%20Internet%20Files\Content.IE5\BLZZLBH0\37519)%20%7b&#1050;&#1086;&#1085;&#1089;&#1091;&#1083;&#1100;&#1090;&#1072;&#1085;&#1090;&#1055;&#1083;&#1102;&#1089;%7d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B06869422487C15505D9711A2A02DDA8438C1C8B707C8FE26E9890219F577069949030AF5E9F0275BB3A18F4CDA8454BECE8B7F4D7847A171EE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0609\AppData\Local\Microsoft\Windows\Temporary%20Internet%20Files\Content.IE5\BLZZLBH0\37519)%20%7b&#1050;&#1086;&#1085;&#1089;&#1091;&#1083;&#1100;&#1090;&#1072;&#1085;&#1090;&#1055;&#1083;&#1102;&#1089;%7d" TargetMode="External"/><Relationship Id="rId10" Type="http://schemas.openxmlformats.org/officeDocument/2006/relationships/hyperlink" Target="file:///C:\Users\0609\AppData\Local\Microsoft\Windows\Temporary%20Internet%20Files\Content.IE5\BLZZLBH0\132)%20%7b&#1050;&#1086;&#1085;&#1089;&#1091;&#1083;&#1100;&#1090;&#1072;&#1085;&#1090;&#1055;&#1083;&#1102;&#1089;%7d" TargetMode="External"/><Relationship Id="rId19" Type="http://schemas.openxmlformats.org/officeDocument/2006/relationships/hyperlink" Target="file:///C:\Users\0609\AppData\Local\Microsoft\Windows\Temporary%20Internet%20Files\Content.IE5\BLZZLBH0\132)%20%7b&#1050;&#1086;&#1085;&#1089;&#1091;&#1083;&#1100;&#1090;&#1072;&#1085;&#1090;&#1055;&#1083;&#1102;&#1089;%7d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0609\AppData\Local\Microsoft\Windows\Temporary%20Internet%20Files\Content.IE5\BLZZLBH0\132)%20%7b&#1050;&#1086;&#1085;&#1089;&#1091;&#1083;&#1100;&#1090;&#1072;&#1085;&#1090;&#1055;&#1083;&#1102;&#1089;%7d" TargetMode="External"/><Relationship Id="rId14" Type="http://schemas.openxmlformats.org/officeDocument/2006/relationships/hyperlink" Target="file:///C:\Users\0609\AppData\Local\Microsoft\Windows\Temporary%20Internet%20Files\Content.IE5\BLZZLBH0\37519)%20%7b&#1050;&#1086;&#1085;&#1089;&#1091;&#1083;&#1100;&#1090;&#1072;&#1085;&#1090;&#1055;&#1083;&#1102;&#1089;%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40</Pages>
  <Words>16393</Words>
  <Characters>93446</Characters>
  <Application>Microsoft Office Word</Application>
  <DocSecurity>0</DocSecurity>
  <Lines>778</Lines>
  <Paragraphs>219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BEST XP Edition</Company>
  <LinksUpToDate>false</LinksUpToDate>
  <CharactersWithSpaces>109620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Admin</cp:lastModifiedBy>
  <cp:revision>2</cp:revision>
  <cp:lastPrinted>2022-12-27T06:53:00Z</cp:lastPrinted>
  <dcterms:created xsi:type="dcterms:W3CDTF">2022-12-27T06:56:00Z</dcterms:created>
  <dcterms:modified xsi:type="dcterms:W3CDTF">2022-12-27T06:56:00Z</dcterms:modified>
</cp:coreProperties>
</file>